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宋体" w:cs="Times New Roman"/>
          <w:b/>
          <w:bCs/>
          <w:sz w:val="32"/>
          <w:szCs w:val="32"/>
        </w:rPr>
      </w:pPr>
      <w:bookmarkStart w:id="0" w:name="_Hlk53927463"/>
      <w:bookmarkEnd w:id="0"/>
      <w:bookmarkStart w:id="1" w:name="_Hlk54198148"/>
      <w:commentRangeStart w:id="0"/>
      <w:commentRangeStart w:id="1"/>
      <w:r>
        <w:rPr>
          <w:rFonts w:hint="eastAsia" w:ascii="黑体" w:hAnsi="黑体" w:eastAsia="黑体" w:cs="黑体"/>
          <w:b w:val="0"/>
          <w:bCs w:val="0"/>
          <w:sz w:val="36"/>
          <w:szCs w:val="36"/>
        </w:rPr>
        <w:t>顶管渐变置换法</w:t>
      </w:r>
      <w:bookmarkEnd w:id="1"/>
      <w:r>
        <w:rPr>
          <w:rFonts w:hint="eastAsia" w:ascii="黑体" w:hAnsi="黑体" w:eastAsia="黑体" w:cs="黑体"/>
          <w:b w:val="0"/>
          <w:bCs w:val="0"/>
          <w:sz w:val="36"/>
          <w:szCs w:val="36"/>
        </w:rPr>
        <w:t>控制软土路基不均匀沉降效果研究</w:t>
      </w:r>
      <w:commentRangeEnd w:id="0"/>
      <w:r>
        <w:rPr>
          <w:rFonts w:hint="eastAsia" w:ascii="仿宋" w:hAnsi="仿宋" w:eastAsia="仿宋" w:cs="仿宋"/>
          <w:b/>
          <w:bCs/>
          <w:sz w:val="44"/>
          <w:szCs w:val="44"/>
        </w:rPr>
        <w:commentReference w:id="0"/>
      </w:r>
      <w:commentRangeEnd w:id="1"/>
      <w:r>
        <w:commentReference w:id="1"/>
      </w:r>
    </w:p>
    <w:p>
      <w:pPr>
        <w:jc w:val="center"/>
        <w:rPr>
          <w:rFonts w:hint="eastAsia" w:ascii="宋体" w:hAnsi="宋体" w:eastAsia="宋体" w:cs="宋体"/>
          <w:b w:val="0"/>
          <w:bCs w:val="0"/>
          <w:sz w:val="18"/>
          <w:szCs w:val="18"/>
        </w:rPr>
      </w:pPr>
      <w:commentRangeStart w:id="2"/>
      <w:r>
        <w:rPr>
          <w:rFonts w:hint="eastAsia" w:ascii="仿宋" w:hAnsi="仿宋" w:eastAsia="仿宋" w:cs="仿宋"/>
          <w:b w:val="0"/>
          <w:bCs w:val="0"/>
          <w:sz w:val="24"/>
          <w:szCs w:val="24"/>
        </w:rPr>
        <w:t>柴</w:t>
      </w:r>
      <w:r>
        <w:rPr>
          <w:rFonts w:hint="eastAsia" w:ascii="仿宋" w:hAnsi="仿宋" w:eastAsia="仿宋" w:cs="仿宋"/>
          <w:b w:val="0"/>
          <w:bCs w:val="0"/>
          <w:sz w:val="24"/>
          <w:szCs w:val="24"/>
          <w:lang w:val="en-US" w:eastAsia="zh-CN"/>
        </w:rPr>
        <w:t>**</w:t>
      </w:r>
      <w:r>
        <w:rPr>
          <w:rFonts w:hint="eastAsia" w:ascii="宋体" w:hAnsi="宋体" w:eastAsia="宋体" w:cs="宋体"/>
          <w:b w:val="0"/>
          <w:bCs w:val="0"/>
          <w:sz w:val="18"/>
          <w:szCs w:val="18"/>
          <w:vertAlign w:val="superscript"/>
        </w:rPr>
        <w:t>1,2</w:t>
      </w:r>
      <w:r>
        <w:rPr>
          <w:rFonts w:hint="eastAsia" w:ascii="宋体" w:hAnsi="宋体" w:eastAsia="宋体" w:cs="宋体"/>
          <w:b w:val="0"/>
          <w:bCs w:val="0"/>
          <w:sz w:val="18"/>
          <w:szCs w:val="18"/>
        </w:rPr>
        <w:t>，</w:t>
      </w:r>
      <w:r>
        <w:rPr>
          <w:rFonts w:hint="eastAsia" w:ascii="仿宋" w:hAnsi="仿宋" w:eastAsia="仿宋" w:cs="仿宋"/>
          <w:b w:val="0"/>
          <w:bCs w:val="0"/>
          <w:sz w:val="24"/>
          <w:szCs w:val="24"/>
        </w:rPr>
        <w:t>涂</w:t>
      </w:r>
      <w:r>
        <w:rPr>
          <w:rFonts w:hint="eastAsia" w:ascii="仿宋" w:hAnsi="仿宋" w:eastAsia="仿宋" w:cs="仿宋"/>
          <w:b w:val="0"/>
          <w:bCs w:val="0"/>
          <w:sz w:val="24"/>
          <w:szCs w:val="24"/>
          <w:lang w:val="en-US" w:eastAsia="zh-CN"/>
        </w:rPr>
        <w:t>**</w:t>
      </w:r>
      <w:r>
        <w:rPr>
          <w:rFonts w:hint="eastAsia" w:ascii="宋体" w:hAnsi="宋体" w:eastAsia="宋体" w:cs="宋体"/>
          <w:b w:val="0"/>
          <w:bCs w:val="0"/>
          <w:sz w:val="18"/>
          <w:szCs w:val="18"/>
          <w:vertAlign w:val="superscript"/>
        </w:rPr>
        <w:t>1,2</w:t>
      </w:r>
      <w:r>
        <w:rPr>
          <w:rFonts w:hint="eastAsia" w:ascii="宋体" w:hAnsi="宋体" w:eastAsia="宋体" w:cs="宋体"/>
          <w:b w:val="0"/>
          <w:bCs w:val="0"/>
          <w:sz w:val="18"/>
          <w:szCs w:val="18"/>
        </w:rPr>
        <w:t>，</w:t>
      </w:r>
      <w:r>
        <w:rPr>
          <w:rFonts w:hint="eastAsia" w:ascii="仿宋" w:hAnsi="仿宋" w:eastAsia="仿宋" w:cs="仿宋"/>
          <w:b w:val="0"/>
          <w:bCs w:val="0"/>
          <w:sz w:val="24"/>
          <w:szCs w:val="24"/>
        </w:rPr>
        <w:t>徐</w:t>
      </w:r>
      <w:r>
        <w:rPr>
          <w:rFonts w:hint="eastAsia" w:ascii="仿宋" w:hAnsi="仿宋" w:eastAsia="仿宋" w:cs="仿宋"/>
          <w:b w:val="0"/>
          <w:bCs w:val="0"/>
          <w:sz w:val="24"/>
          <w:szCs w:val="24"/>
          <w:lang w:val="en-US" w:eastAsia="zh-CN"/>
        </w:rPr>
        <w:t>**</w:t>
      </w:r>
      <w:r>
        <w:rPr>
          <w:rFonts w:hint="eastAsia" w:ascii="宋体" w:hAnsi="宋体" w:eastAsia="宋体" w:cs="宋体"/>
          <w:b w:val="0"/>
          <w:bCs w:val="0"/>
          <w:sz w:val="18"/>
          <w:szCs w:val="18"/>
          <w:vertAlign w:val="superscript"/>
        </w:rPr>
        <w:t>1,2</w:t>
      </w:r>
      <w:r>
        <w:rPr>
          <w:rFonts w:hint="eastAsia" w:ascii="宋体" w:hAnsi="宋体" w:eastAsia="宋体" w:cs="宋体"/>
          <w:b w:val="0"/>
          <w:bCs w:val="0"/>
          <w:sz w:val="18"/>
          <w:szCs w:val="18"/>
        </w:rPr>
        <w:t>，</w:t>
      </w:r>
      <w:r>
        <w:rPr>
          <w:rFonts w:hint="eastAsia" w:ascii="仿宋" w:hAnsi="仿宋" w:eastAsia="仿宋" w:cs="仿宋"/>
          <w:b w:val="0"/>
          <w:bCs w:val="0"/>
          <w:sz w:val="24"/>
          <w:szCs w:val="24"/>
        </w:rPr>
        <w:t>李</w:t>
      </w:r>
      <w:r>
        <w:rPr>
          <w:rFonts w:hint="eastAsia" w:ascii="仿宋" w:hAnsi="仿宋" w:eastAsia="仿宋" w:cs="仿宋"/>
          <w:b w:val="0"/>
          <w:bCs w:val="0"/>
          <w:sz w:val="24"/>
          <w:szCs w:val="24"/>
          <w:lang w:val="en-US" w:eastAsia="zh-CN"/>
        </w:rPr>
        <w:t>**</w:t>
      </w:r>
      <w:r>
        <w:rPr>
          <w:rFonts w:hint="eastAsia" w:ascii="宋体" w:hAnsi="宋体" w:eastAsia="宋体" w:cs="宋体"/>
          <w:b w:val="0"/>
          <w:bCs w:val="0"/>
          <w:sz w:val="18"/>
          <w:szCs w:val="18"/>
          <w:vertAlign w:val="superscript"/>
        </w:rPr>
        <w:t>1,2</w:t>
      </w:r>
      <w:commentRangeEnd w:id="2"/>
      <w:r>
        <w:commentReference w:id="2"/>
      </w:r>
    </w:p>
    <w:p>
      <w:pPr>
        <w:jc w:val="center"/>
        <w:rPr>
          <w:rFonts w:hint="eastAsia" w:ascii="宋体" w:hAnsi="宋体" w:eastAsia="宋体" w:cs="宋体"/>
          <w:b w:val="0"/>
          <w:bCs w:val="0"/>
          <w:sz w:val="18"/>
          <w:szCs w:val="18"/>
        </w:rPr>
      </w:pPr>
      <w:commentRangeStart w:id="3"/>
      <w:r>
        <w:rPr>
          <w:rFonts w:hint="eastAsia" w:ascii="宋体" w:hAnsi="宋体" w:eastAsia="宋体" w:cs="宋体"/>
          <w:b w:val="0"/>
          <w:bCs w:val="0"/>
          <w:sz w:val="18"/>
          <w:szCs w:val="18"/>
        </w:rPr>
        <w:t>（1</w:t>
      </w:r>
      <w:r>
        <w:rPr>
          <w:rFonts w:hint="eastAsia" w:ascii="宋体" w:hAnsi="宋体" w:eastAsia="宋体" w:cs="宋体"/>
          <w:b w:val="0"/>
          <w:bCs w:val="0"/>
          <w:sz w:val="18"/>
          <w:szCs w:val="18"/>
          <w:lang w:val="en-US" w:eastAsia="zh-CN"/>
        </w:rPr>
        <w:t>.</w:t>
      </w:r>
      <w:r>
        <w:rPr>
          <w:rFonts w:hint="eastAsia" w:ascii="宋体" w:hAnsi="宋体" w:eastAsia="宋体" w:cs="宋体"/>
          <w:b w:val="0"/>
          <w:bCs w:val="0"/>
          <w:sz w:val="18"/>
          <w:szCs w:val="18"/>
        </w:rPr>
        <w:t>招商局重庆交通科研设计院有限公司，</w:t>
      </w:r>
      <w:r>
        <w:rPr>
          <w:rFonts w:hint="eastAsia" w:ascii="宋体" w:hAnsi="宋体" w:eastAsia="宋体" w:cs="宋体"/>
          <w:b w:val="0"/>
          <w:bCs w:val="0"/>
          <w:sz w:val="18"/>
          <w:szCs w:val="18"/>
          <w:lang w:eastAsia="zh-CN"/>
        </w:rPr>
        <w:t>重庆</w:t>
      </w:r>
      <w:r>
        <w:rPr>
          <w:rFonts w:hint="eastAsia" w:ascii="宋体" w:hAnsi="宋体" w:eastAsia="宋体" w:cs="宋体"/>
          <w:b w:val="0"/>
          <w:bCs w:val="0"/>
          <w:sz w:val="18"/>
          <w:szCs w:val="18"/>
          <w:lang w:val="en-US" w:eastAsia="zh-CN"/>
        </w:rPr>
        <w:t xml:space="preserve">  400067；</w:t>
      </w:r>
      <w:r>
        <w:rPr>
          <w:rFonts w:hint="eastAsia" w:ascii="宋体" w:hAnsi="宋体" w:eastAsia="宋体" w:cs="宋体"/>
          <w:b w:val="0"/>
          <w:bCs w:val="0"/>
          <w:sz w:val="18"/>
          <w:szCs w:val="18"/>
        </w:rPr>
        <w:t>2</w:t>
      </w:r>
      <w:r>
        <w:rPr>
          <w:rFonts w:hint="eastAsia" w:ascii="宋体" w:hAnsi="宋体" w:eastAsia="宋体" w:cs="宋体"/>
          <w:b w:val="0"/>
          <w:bCs w:val="0"/>
          <w:sz w:val="18"/>
          <w:szCs w:val="18"/>
          <w:lang w:val="en-US" w:eastAsia="zh-CN"/>
        </w:rPr>
        <w:t>.</w:t>
      </w:r>
      <w:r>
        <w:rPr>
          <w:rFonts w:hint="eastAsia" w:ascii="宋体" w:hAnsi="宋体" w:eastAsia="宋体" w:cs="宋体"/>
          <w:b w:val="0"/>
          <w:bCs w:val="0"/>
          <w:sz w:val="18"/>
          <w:szCs w:val="18"/>
        </w:rPr>
        <w:t>山区道路工程与防灾减灾技术国家地方联合工程实验室</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重庆 400067）</w:t>
      </w:r>
      <w:commentRangeEnd w:id="3"/>
      <w:r>
        <w:commentReference w:id="3"/>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21"/>
          <w:szCs w:val="21"/>
        </w:rPr>
      </w:pPr>
      <w:commentRangeStart w:id="4"/>
      <w:r>
        <w:rPr>
          <w:rFonts w:hint="eastAsia" w:ascii="黑体" w:hAnsi="黑体" w:eastAsia="黑体" w:cs="黑体"/>
          <w:b w:val="0"/>
          <w:bCs w:val="0"/>
          <w:sz w:val="18"/>
          <w:szCs w:val="18"/>
        </w:rPr>
        <w:t>摘</w:t>
      </w:r>
      <w:r>
        <w:rPr>
          <w:rFonts w:hint="eastAsia" w:ascii="黑体" w:hAnsi="黑体" w:eastAsia="黑体" w:cs="黑体"/>
          <w:b w:val="0"/>
          <w:bCs w:val="0"/>
          <w:sz w:val="18"/>
          <w:szCs w:val="18"/>
          <w:lang w:val="en-US" w:eastAsia="zh-CN"/>
        </w:rPr>
        <w:t xml:space="preserve">  </w:t>
      </w:r>
      <w:r>
        <w:rPr>
          <w:rFonts w:hint="eastAsia" w:ascii="黑体" w:hAnsi="黑体" w:eastAsia="黑体" w:cs="黑体"/>
          <w:b w:val="0"/>
          <w:bCs w:val="0"/>
          <w:sz w:val="18"/>
          <w:szCs w:val="18"/>
        </w:rPr>
        <w:t>要：</w:t>
      </w:r>
      <w:r>
        <w:rPr>
          <w:rFonts w:hint="eastAsia" w:ascii="黑体" w:hAnsi="黑体" w:eastAsia="黑体" w:cs="黑体"/>
          <w:b w:val="0"/>
          <w:bCs w:val="0"/>
          <w:sz w:val="18"/>
          <w:szCs w:val="18"/>
          <w:lang w:eastAsia="zh-CN"/>
        </w:rPr>
        <w:t>【</w:t>
      </w:r>
      <w:r>
        <w:rPr>
          <w:rFonts w:hint="eastAsia" w:ascii="黑体" w:hAnsi="黑体" w:eastAsia="黑体" w:cs="黑体"/>
          <w:b w:val="0"/>
          <w:bCs w:val="0"/>
          <w:sz w:val="18"/>
          <w:szCs w:val="18"/>
          <w:lang w:val="en-US" w:eastAsia="zh-CN"/>
        </w:rPr>
        <w:t>目的</w:t>
      </w:r>
      <w:r>
        <w:rPr>
          <w:rFonts w:hint="eastAsia" w:ascii="黑体" w:hAnsi="黑体" w:eastAsia="黑体" w:cs="黑体"/>
          <w:b w:val="0"/>
          <w:bCs w:val="0"/>
          <w:sz w:val="18"/>
          <w:szCs w:val="18"/>
          <w:lang w:eastAsia="zh-CN"/>
        </w:rPr>
        <w:t>】</w:t>
      </w:r>
      <w:r>
        <w:rPr>
          <w:rFonts w:hint="eastAsia" w:ascii="楷体" w:hAnsi="楷体" w:eastAsia="楷体" w:cs="楷体"/>
          <w:sz w:val="18"/>
          <w:szCs w:val="18"/>
        </w:rPr>
        <w:t>为解决因软土路基不均匀沉降引起的桥头跳车问题，依托G15沈海高速直上河桥段工程，提出了顶管渐变置换非开挖处治方案。</w:t>
      </w:r>
      <w:r>
        <w:rPr>
          <w:rFonts w:hint="eastAsia" w:ascii="楷体" w:hAnsi="楷体" w:eastAsia="楷体" w:cs="楷体"/>
          <w:sz w:val="18"/>
          <w:szCs w:val="18"/>
          <w:lang w:eastAsia="zh-CN"/>
        </w:rPr>
        <w:t>【</w:t>
      </w:r>
      <w:r>
        <w:rPr>
          <w:rFonts w:hint="eastAsia" w:ascii="楷体" w:hAnsi="楷体" w:eastAsia="楷体" w:cs="楷体"/>
          <w:sz w:val="18"/>
          <w:szCs w:val="18"/>
          <w:lang w:val="en-US" w:eastAsia="zh-CN"/>
        </w:rPr>
        <w:t>方法</w:t>
      </w:r>
      <w:r>
        <w:rPr>
          <w:rFonts w:hint="eastAsia" w:ascii="楷体" w:hAnsi="楷体" w:eastAsia="楷体" w:cs="楷体"/>
          <w:sz w:val="18"/>
          <w:szCs w:val="18"/>
          <w:lang w:eastAsia="zh-CN"/>
        </w:rPr>
        <w:t>】</w:t>
      </w:r>
      <w:r>
        <w:rPr>
          <w:rFonts w:hint="eastAsia" w:ascii="楷体" w:hAnsi="楷体" w:eastAsia="楷体" w:cs="楷体"/>
          <w:sz w:val="18"/>
          <w:szCs w:val="18"/>
        </w:rPr>
        <w:t>采用三维数值模拟法，首先分析了沿线路方向10m范围内4种不同处治间距对沉降控制效果的影响规律，为处治方案提供合理的设计参考，然后对提出的顶管渐变置换设计方案进行了总体分析。</w:t>
      </w:r>
      <w:r>
        <w:rPr>
          <w:rFonts w:hint="eastAsia" w:ascii="楷体" w:hAnsi="楷体" w:eastAsia="楷体" w:cs="楷体"/>
          <w:sz w:val="18"/>
          <w:szCs w:val="18"/>
          <w:lang w:eastAsia="zh-CN"/>
        </w:rPr>
        <w:t>【</w:t>
      </w:r>
      <w:r>
        <w:rPr>
          <w:rFonts w:hint="eastAsia" w:ascii="楷体" w:hAnsi="楷体" w:eastAsia="楷体" w:cs="楷体"/>
          <w:sz w:val="18"/>
          <w:szCs w:val="18"/>
          <w:lang w:val="en-US" w:eastAsia="zh-CN"/>
        </w:rPr>
        <w:t>结果</w:t>
      </w:r>
      <w:r>
        <w:rPr>
          <w:rFonts w:hint="eastAsia" w:ascii="楷体" w:hAnsi="楷体" w:eastAsia="楷体" w:cs="楷体"/>
          <w:sz w:val="18"/>
          <w:szCs w:val="18"/>
          <w:lang w:eastAsia="zh-CN"/>
        </w:rPr>
        <w:t>】</w:t>
      </w:r>
      <w:r>
        <w:rPr>
          <w:rFonts w:hint="eastAsia" w:ascii="楷体" w:hAnsi="楷体" w:eastAsia="楷体" w:cs="楷体"/>
          <w:sz w:val="18"/>
          <w:szCs w:val="18"/>
        </w:rPr>
        <w:t>结果表明：随着顶管间距的增加，沉降控制效果逐渐降低，当间距为1.06m时，减载最大，沉降控制效果最好；且顶管的下穿路堤，形成类似梁结构，能很好地承担上部荷载，因而在路基沉降控制中能够发挥作用；</w:t>
      </w:r>
      <w:r>
        <w:rPr>
          <w:rFonts w:hint="eastAsia" w:ascii="楷体" w:hAnsi="楷体" w:eastAsia="楷体" w:cs="楷体"/>
          <w:sz w:val="18"/>
          <w:szCs w:val="18"/>
          <w:lang w:eastAsia="zh-CN"/>
        </w:rPr>
        <w:t>【</w:t>
      </w:r>
      <w:r>
        <w:rPr>
          <w:rFonts w:hint="eastAsia" w:ascii="楷体" w:hAnsi="楷体" w:eastAsia="楷体" w:cs="楷体"/>
          <w:sz w:val="18"/>
          <w:szCs w:val="18"/>
          <w:lang w:val="en-US" w:eastAsia="zh-CN"/>
        </w:rPr>
        <w:t>结论</w:t>
      </w:r>
      <w:r>
        <w:rPr>
          <w:rFonts w:hint="eastAsia" w:ascii="楷体" w:hAnsi="楷体" w:eastAsia="楷体" w:cs="楷体"/>
          <w:sz w:val="18"/>
          <w:szCs w:val="18"/>
          <w:lang w:eastAsia="zh-CN"/>
        </w:rPr>
        <w:t>】</w:t>
      </w:r>
      <w:r>
        <w:rPr>
          <w:rFonts w:hint="eastAsia" w:ascii="楷体" w:hAnsi="楷体" w:eastAsia="楷体" w:cs="楷体"/>
          <w:sz w:val="18"/>
          <w:szCs w:val="18"/>
        </w:rPr>
        <w:t>通过对桥头段进行顶管渐变置换法处治，使得</w:t>
      </w:r>
      <w:bookmarkStart w:id="25" w:name="_GoBack"/>
      <w:bookmarkEnd w:id="25"/>
      <w:r>
        <w:rPr>
          <w:rFonts w:hint="eastAsia" w:ascii="楷体" w:hAnsi="楷体" w:eastAsia="楷体" w:cs="楷体"/>
          <w:sz w:val="18"/>
          <w:szCs w:val="18"/>
        </w:rPr>
        <w:t>路基沉降沿线路方向呈现渐变效果，有效地处治了桥头跳车问题。</w:t>
      </w:r>
      <w:commentRangeEnd w:id="4"/>
      <w:r>
        <w:commentReference w:id="4"/>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21"/>
          <w:szCs w:val="21"/>
        </w:rPr>
      </w:pPr>
      <w:commentRangeStart w:id="5"/>
      <w:r>
        <w:rPr>
          <w:rFonts w:hint="eastAsia" w:ascii="黑体" w:hAnsi="黑体" w:eastAsia="黑体" w:cs="黑体"/>
          <w:b w:val="0"/>
          <w:bCs w:val="0"/>
          <w:sz w:val="18"/>
          <w:szCs w:val="18"/>
        </w:rPr>
        <w:t>关键</w:t>
      </w:r>
      <w:r>
        <w:rPr>
          <w:rFonts w:hint="eastAsia" w:ascii="黑体" w:hAnsi="黑体" w:eastAsia="黑体" w:cs="黑体"/>
          <w:b w:val="0"/>
          <w:bCs w:val="0"/>
          <w:sz w:val="18"/>
          <w:szCs w:val="18"/>
          <w:lang w:val="en-US" w:eastAsia="zh-CN"/>
        </w:rPr>
        <w:t>词</w:t>
      </w:r>
      <w:r>
        <w:rPr>
          <w:rFonts w:hint="eastAsia" w:ascii="黑体" w:hAnsi="黑体" w:eastAsia="黑体" w:cs="黑体"/>
          <w:b w:val="0"/>
          <w:bCs w:val="0"/>
          <w:sz w:val="18"/>
          <w:szCs w:val="18"/>
        </w:rPr>
        <w:t>：</w:t>
      </w:r>
      <w:r>
        <w:rPr>
          <w:rFonts w:hint="eastAsia" w:ascii="楷体" w:hAnsi="楷体" w:eastAsia="楷体" w:cs="楷体"/>
          <w:sz w:val="18"/>
          <w:szCs w:val="18"/>
        </w:rPr>
        <w:t>顶管；软土路基；数值模拟；桥头跳车；渐变置换</w:t>
      </w:r>
      <w:commentRangeEnd w:id="5"/>
      <w:r>
        <w:commentReference w:id="5"/>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ascii="Times New Roman" w:hAnsi="Times New Roman" w:eastAsia="宋体" w:cs="Times New Roman"/>
          <w:sz w:val="21"/>
          <w:szCs w:val="21"/>
        </w:rPr>
      </w:pPr>
      <w:commentRangeStart w:id="6"/>
      <w:r>
        <w:rPr>
          <w:rFonts w:hint="eastAsia" w:ascii="黑体" w:hAnsi="黑体" w:eastAsia="黑体" w:cs="黑体"/>
          <w:b w:val="0"/>
          <w:bCs w:val="0"/>
          <w:sz w:val="18"/>
          <w:szCs w:val="18"/>
        </w:rPr>
        <w:t>文章编号：</w:t>
      </w:r>
      <w:commentRangeEnd w:id="6"/>
      <w:r>
        <w:commentReference w:id="6"/>
      </w:r>
      <w:r>
        <w:rPr>
          <w:rFonts w:hint="eastAsia" w:ascii="黑体" w:hAnsi="黑体" w:eastAsia="黑体" w:cs="黑体"/>
          <w:b w:val="0"/>
          <w:bCs w:val="0"/>
          <w:sz w:val="18"/>
          <w:szCs w:val="18"/>
          <w:lang w:val="en-US" w:eastAsia="zh-CN"/>
        </w:rPr>
        <w:t xml:space="preserve">      </w:t>
      </w:r>
      <w:r>
        <w:rPr>
          <w:rFonts w:ascii="Times New Roman" w:hAnsi="Times New Roman" w:eastAsia="宋体" w:cs="Times New Roman"/>
          <w:b/>
          <w:bCs/>
          <w:sz w:val="21"/>
          <w:szCs w:val="21"/>
        </w:rPr>
        <w:t xml:space="preserve">               </w:t>
      </w:r>
      <w:commentRangeStart w:id="7"/>
      <w:r>
        <w:rPr>
          <w:rFonts w:ascii="Times New Roman" w:hAnsi="Times New Roman" w:eastAsia="宋体" w:cs="Times New Roman"/>
          <w:b/>
          <w:bCs/>
          <w:sz w:val="21"/>
          <w:szCs w:val="21"/>
        </w:rPr>
        <w:t xml:space="preserve"> </w:t>
      </w:r>
      <w:r>
        <w:rPr>
          <w:rFonts w:hint="eastAsia" w:ascii="黑体" w:hAnsi="黑体" w:eastAsia="黑体" w:cs="黑体"/>
          <w:b w:val="0"/>
          <w:bCs w:val="0"/>
          <w:sz w:val="18"/>
          <w:szCs w:val="18"/>
        </w:rPr>
        <w:t>中图分类号：</w:t>
      </w:r>
      <w:r>
        <w:rPr>
          <w:rFonts w:hint="eastAsia" w:ascii="Times New Roman" w:hAnsi="Times New Roman" w:eastAsia="宋体" w:cs="Times New Roman"/>
          <w:sz w:val="21"/>
          <w:szCs w:val="21"/>
        </w:rPr>
        <w:t>U</w:t>
      </w:r>
      <w:r>
        <w:rPr>
          <w:rFonts w:ascii="Times New Roman" w:hAnsi="Times New Roman" w:eastAsia="宋体" w:cs="Times New Roman"/>
          <w:sz w:val="21"/>
          <w:szCs w:val="21"/>
        </w:rPr>
        <w:t xml:space="preserve">418.5 </w:t>
      </w:r>
      <w:r>
        <w:rPr>
          <w:rFonts w:ascii="Times New Roman" w:hAnsi="Times New Roman" w:eastAsia="宋体" w:cs="Times New Roman"/>
          <w:b/>
          <w:bCs/>
          <w:sz w:val="21"/>
          <w:szCs w:val="21"/>
        </w:rPr>
        <w:t xml:space="preserve"> </w:t>
      </w:r>
      <w:commentRangeEnd w:id="7"/>
      <w:r>
        <w:commentReference w:id="7"/>
      </w:r>
      <w:r>
        <w:rPr>
          <w:rFonts w:ascii="Times New Roman" w:hAnsi="Times New Roman" w:eastAsia="宋体" w:cs="Times New Roman"/>
          <w:b/>
          <w:bCs/>
          <w:sz w:val="21"/>
          <w:szCs w:val="21"/>
        </w:rPr>
        <w:t xml:space="preserve">                    </w:t>
      </w:r>
      <w:commentRangeStart w:id="8"/>
      <w:r>
        <w:rPr>
          <w:rFonts w:hint="eastAsia" w:ascii="黑体" w:hAnsi="黑体" w:eastAsia="黑体" w:cs="黑体"/>
          <w:b w:val="0"/>
          <w:bCs w:val="0"/>
          <w:sz w:val="18"/>
          <w:szCs w:val="18"/>
        </w:rPr>
        <w:t>文献标识码：</w:t>
      </w:r>
      <w:r>
        <w:rPr>
          <w:rFonts w:hint="eastAsia" w:ascii="Times New Roman" w:hAnsi="Times New Roman" w:eastAsia="宋体" w:cs="Times New Roman"/>
          <w:sz w:val="21"/>
          <w:szCs w:val="21"/>
        </w:rPr>
        <w:t>A</w:t>
      </w:r>
      <w:commentRangeEnd w:id="8"/>
      <w:r>
        <w:commentReference w:id="8"/>
      </w:r>
    </w:p>
    <w:p>
      <w:pPr>
        <w:pStyle w:val="17"/>
        <w:jc w:val="center"/>
        <w:rPr>
          <w:b/>
          <w:bCs/>
          <w:sz w:val="24"/>
          <w:szCs w:val="24"/>
        </w:rPr>
      </w:pPr>
      <w:bookmarkStart w:id="2" w:name="_Hlk54440453"/>
      <w:r>
        <w:commentReference w:id="9"/>
      </w:r>
      <w:commentRangeStart w:id="10"/>
      <w:r>
        <w:rPr>
          <w:rFonts w:hint="eastAsia" w:ascii="黑体" w:hAnsi="黑体" w:eastAsia="黑体" w:cs="黑体"/>
          <w:b/>
          <w:bCs/>
          <w:sz w:val="28"/>
          <w:szCs w:val="28"/>
        </w:rPr>
        <w:t>A study on the control of uneven settlement of subgrade using pipe jacking gradual replacement method</w:t>
      </w:r>
    </w:p>
    <w:bookmarkEnd w:id="2"/>
    <w:p>
      <w:pPr>
        <w:ind w:left="420" w:leftChars="200" w:right="420" w:rightChars="200"/>
        <w:jc w:val="center"/>
        <w:rPr>
          <w:rFonts w:ascii="Times New Roman" w:hAnsi="Times New Roman" w:eastAsia="宋体" w:cs="Times New Roman"/>
          <w:b w:val="0"/>
          <w:bCs w:val="0"/>
          <w:sz w:val="18"/>
          <w:szCs w:val="18"/>
        </w:rPr>
      </w:pPr>
      <w:r>
        <w:rPr>
          <w:rFonts w:hint="eastAsia" w:ascii="Times New Roman" w:hAnsi="Times New Roman" w:eastAsia="宋体" w:cs="Times New Roman"/>
          <w:sz w:val="21"/>
          <w:szCs w:val="21"/>
        </w:rPr>
        <w:t xml:space="preserve">CHAI </w:t>
      </w:r>
      <w:r>
        <w:rPr>
          <w:rFonts w:hint="eastAsia" w:ascii="Times New Roman" w:hAnsi="Times New Roman" w:eastAsia="宋体" w:cs="Times New Roman"/>
          <w:sz w:val="21"/>
          <w:szCs w:val="21"/>
          <w:lang w:val="en-US" w:eastAsia="zh-CN"/>
        </w:rPr>
        <w:t>**</w:t>
      </w:r>
      <w:r>
        <w:rPr>
          <w:rFonts w:hint="eastAsia" w:ascii="宋体" w:hAnsi="宋体" w:eastAsia="宋体" w:cs="宋体"/>
          <w:b w:val="0"/>
          <w:bCs w:val="0"/>
          <w:sz w:val="21"/>
          <w:szCs w:val="21"/>
          <w:vertAlign w:val="superscript"/>
        </w:rPr>
        <w:t>1</w:t>
      </w:r>
      <w:r>
        <w:rPr>
          <w:rFonts w:hint="eastAsia" w:ascii="宋体" w:hAnsi="宋体" w:eastAsia="宋体" w:cs="宋体"/>
          <w:b w:val="0"/>
          <w:bCs w:val="0"/>
          <w:sz w:val="18"/>
          <w:szCs w:val="18"/>
          <w:vertAlign w:val="superscript"/>
        </w:rPr>
        <w:t>,2</w:t>
      </w:r>
      <w:r>
        <w:rPr>
          <w:rFonts w:hint="eastAsia" w:ascii="Times New Roman" w:hAnsi="Times New Roman" w:eastAsia="宋体" w:cs="Times New Roman"/>
          <w:b w:val="0"/>
          <w:bCs w:val="0"/>
          <w:sz w:val="18"/>
          <w:szCs w:val="18"/>
          <w:lang w:val="en-US" w:eastAsia="zh-CN"/>
        </w:rPr>
        <w:t xml:space="preserve">, </w:t>
      </w:r>
      <w:r>
        <w:rPr>
          <w:rFonts w:hint="eastAsia" w:ascii="宋体" w:hAnsi="宋体" w:eastAsia="宋体" w:cs="宋体"/>
          <w:b w:val="0"/>
          <w:bCs w:val="0"/>
          <w:sz w:val="21"/>
          <w:szCs w:val="21"/>
        </w:rPr>
        <w:t>T</w:t>
      </w:r>
      <w:r>
        <w:rPr>
          <w:rFonts w:hint="eastAsia" w:ascii="Times New Roman" w:hAnsi="Times New Roman" w:eastAsia="宋体" w:cs="Times New Roman"/>
          <w:sz w:val="21"/>
          <w:szCs w:val="21"/>
        </w:rPr>
        <w:t xml:space="preserve">U </w:t>
      </w:r>
      <w:r>
        <w:rPr>
          <w:rFonts w:hint="eastAsia" w:ascii="Times New Roman" w:hAnsi="Times New Roman" w:eastAsia="宋体" w:cs="Times New Roman"/>
          <w:sz w:val="21"/>
          <w:szCs w:val="21"/>
          <w:lang w:val="en-US" w:eastAsia="zh-CN"/>
        </w:rPr>
        <w:t>**</w:t>
      </w:r>
      <w:r>
        <w:rPr>
          <w:rFonts w:hint="eastAsia" w:ascii="宋体" w:hAnsi="宋体" w:eastAsia="宋体" w:cs="宋体"/>
          <w:b w:val="0"/>
          <w:bCs w:val="0"/>
          <w:sz w:val="18"/>
          <w:szCs w:val="18"/>
          <w:vertAlign w:val="superscript"/>
        </w:rPr>
        <w:t>1,2</w:t>
      </w:r>
      <w:r>
        <w:rPr>
          <w:rFonts w:hint="eastAsia" w:ascii="Times New Roman" w:hAnsi="Times New Roman" w:eastAsia="宋体" w:cs="Times New Roman"/>
          <w:b w:val="0"/>
          <w:bCs w:val="0"/>
          <w:sz w:val="18"/>
          <w:szCs w:val="18"/>
          <w:lang w:val="en-US" w:eastAsia="zh-CN"/>
        </w:rPr>
        <w:t xml:space="preserve">, </w:t>
      </w:r>
      <w:r>
        <w:rPr>
          <w:rFonts w:hint="eastAsia" w:ascii="宋体" w:hAnsi="宋体" w:eastAsia="宋体" w:cs="宋体"/>
          <w:b w:val="0"/>
          <w:bCs w:val="0"/>
          <w:sz w:val="21"/>
          <w:szCs w:val="21"/>
        </w:rPr>
        <w:t xml:space="preserve">XU </w:t>
      </w:r>
      <w:r>
        <w:rPr>
          <w:rFonts w:hint="eastAsia" w:ascii="宋体" w:hAnsi="宋体" w:eastAsia="宋体" w:cs="宋体"/>
          <w:b w:val="0"/>
          <w:bCs w:val="0"/>
          <w:sz w:val="21"/>
          <w:szCs w:val="21"/>
          <w:lang w:val="en-US" w:eastAsia="zh-CN"/>
        </w:rPr>
        <w:t>**</w:t>
      </w:r>
      <w:r>
        <w:rPr>
          <w:rFonts w:hint="eastAsia" w:ascii="宋体" w:hAnsi="宋体" w:eastAsia="宋体" w:cs="宋体"/>
          <w:b w:val="0"/>
          <w:bCs w:val="0"/>
          <w:sz w:val="18"/>
          <w:szCs w:val="18"/>
          <w:vertAlign w:val="superscript"/>
        </w:rPr>
        <w:t>1,2</w:t>
      </w:r>
      <w:r>
        <w:rPr>
          <w:rFonts w:hint="eastAsia" w:ascii="Times New Roman" w:hAnsi="Times New Roman" w:eastAsia="宋体" w:cs="Times New Roman"/>
          <w:b w:val="0"/>
          <w:bCs w:val="0"/>
          <w:sz w:val="18"/>
          <w:szCs w:val="18"/>
          <w:lang w:val="en-US" w:eastAsia="zh-CN"/>
        </w:rPr>
        <w:t xml:space="preserve">, </w:t>
      </w:r>
      <w:r>
        <w:rPr>
          <w:rFonts w:hint="eastAsia" w:ascii="Times New Roman" w:hAnsi="Times New Roman" w:eastAsia="宋体" w:cs="Times New Roman"/>
          <w:sz w:val="21"/>
          <w:szCs w:val="21"/>
        </w:rPr>
        <w:t xml:space="preserve">LI </w:t>
      </w:r>
      <w:r>
        <w:rPr>
          <w:rFonts w:hint="eastAsia" w:ascii="Times New Roman" w:hAnsi="Times New Roman" w:eastAsia="宋体" w:cs="Times New Roman"/>
          <w:sz w:val="21"/>
          <w:szCs w:val="21"/>
          <w:lang w:val="en-US" w:eastAsia="zh-CN"/>
        </w:rPr>
        <w:t>**</w:t>
      </w:r>
      <w:r>
        <w:rPr>
          <w:rFonts w:hint="eastAsia" w:ascii="宋体" w:hAnsi="宋体" w:eastAsia="宋体" w:cs="宋体"/>
          <w:b w:val="0"/>
          <w:bCs w:val="0"/>
          <w:sz w:val="18"/>
          <w:szCs w:val="18"/>
          <w:vertAlign w:val="superscript"/>
        </w:rPr>
        <w:t>1,2</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hint="eastAsia" w:ascii="Times New Roman" w:hAnsi="Times New Roman" w:eastAsia="宋体" w:cs="Times New Roman"/>
          <w:sz w:val="21"/>
          <w:szCs w:val="21"/>
        </w:rPr>
      </w:pPr>
      <w:r>
        <w:rPr>
          <w:rFonts w:ascii="Times New Roman" w:hAnsi="Times New Roman" w:eastAsia="宋体" w:cs="Times New Roman"/>
          <w:sz w:val="21"/>
          <w:szCs w:val="21"/>
        </w:rPr>
        <w:t>(1</w:t>
      </w:r>
      <w:r>
        <w:rPr>
          <w:rFonts w:hint="eastAsia" w:ascii="Times New Roman" w:hAnsi="Times New Roman" w:eastAsia="宋体" w:cs="Times New Roman"/>
          <w:sz w:val="21"/>
          <w:szCs w:val="21"/>
          <w:lang w:val="en-US" w:eastAsia="zh-CN"/>
        </w:rPr>
        <w:t>.</w:t>
      </w:r>
      <w:r>
        <w:rPr>
          <w:rFonts w:ascii="Times New Roman" w:hAnsi="Times New Roman" w:eastAsia="宋体" w:cs="Times New Roman"/>
          <w:sz w:val="21"/>
          <w:szCs w:val="21"/>
        </w:rPr>
        <w:t>China Merchants Chongqing Communications Reseach &amp;</w:t>
      </w:r>
      <w:r>
        <w:rPr>
          <w:rFonts w:hint="eastAsia" w:ascii="Times New Roman" w:hAnsi="Times New Roman" w:eastAsia="宋体" w:cs="Times New Roman"/>
          <w:sz w:val="21"/>
          <w:szCs w:val="21"/>
          <w:lang w:val="en-US" w:eastAsia="zh-CN"/>
        </w:rPr>
        <w:t xml:space="preserve"> </w:t>
      </w:r>
      <w:r>
        <w:rPr>
          <w:rFonts w:ascii="Times New Roman" w:hAnsi="Times New Roman" w:eastAsia="宋体" w:cs="Times New Roman"/>
          <w:sz w:val="21"/>
          <w:szCs w:val="21"/>
        </w:rPr>
        <w:t>Design Institute C</w:t>
      </w:r>
      <w:r>
        <w:rPr>
          <w:rFonts w:hint="eastAsia" w:ascii="Times New Roman" w:hAnsi="Times New Roman" w:eastAsia="宋体" w:cs="Times New Roman"/>
          <w:sz w:val="21"/>
          <w:szCs w:val="21"/>
          <w:lang w:val="en-US" w:eastAsia="zh-CN"/>
        </w:rPr>
        <w:t>o</w:t>
      </w:r>
      <w:r>
        <w:rPr>
          <w:rFonts w:ascii="Times New Roman" w:hAnsi="Times New Roman" w:eastAsia="宋体" w:cs="Times New Roman"/>
          <w:sz w:val="21"/>
          <w:szCs w:val="21"/>
        </w:rPr>
        <w:t>.,L</w:t>
      </w:r>
      <w:r>
        <w:rPr>
          <w:rFonts w:hint="eastAsia" w:ascii="Times New Roman" w:hAnsi="Times New Roman" w:eastAsia="宋体" w:cs="Times New Roman"/>
          <w:sz w:val="21"/>
          <w:szCs w:val="21"/>
          <w:lang w:val="en-US" w:eastAsia="zh-CN"/>
        </w:rPr>
        <w:t>td.</w:t>
      </w:r>
      <w:r>
        <w:rPr>
          <w:rFonts w:ascii="Times New Roman" w:hAnsi="Times New Roman" w:eastAsia="宋体" w:cs="Times New Roman"/>
          <w:sz w:val="21"/>
          <w:szCs w:val="21"/>
        </w:rPr>
        <w:t xml:space="preserve">,Chongqing ,400067)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imes New Roman" w:hAnsi="Times New Roman" w:eastAsia="宋体" w:cs="Times New Roman"/>
          <w:sz w:val="21"/>
          <w:szCs w:val="21"/>
        </w:rPr>
      </w:pPr>
      <w:r>
        <w:rPr>
          <w:rFonts w:hint="eastAsia" w:ascii="Times New Roman" w:hAnsi="Times New Roman" w:eastAsia="宋体" w:cs="Times New Roman"/>
          <w:b/>
          <w:bCs/>
          <w:sz w:val="21"/>
          <w:szCs w:val="21"/>
        </w:rPr>
        <w:t>Abstract:</w:t>
      </w:r>
      <w:r>
        <w:rPr>
          <w:rFonts w:ascii="Times New Roman" w:hAnsi="Times New Roman" w:eastAsia="宋体" w:cs="Times New Roman"/>
          <w:b/>
          <w:bCs/>
          <w:sz w:val="18"/>
          <w:szCs w:val="18"/>
        </w:rPr>
        <w:t xml:space="preserve"> </w:t>
      </w:r>
      <w:r>
        <w:rPr>
          <w:rFonts w:ascii="Times New Roman" w:hAnsi="Times New Roman" w:eastAsia="宋体" w:cs="Times New Roman"/>
          <w:sz w:val="21"/>
          <w:szCs w:val="21"/>
        </w:rPr>
        <w:t>In order to solve the problem of</w:t>
      </w:r>
      <w:bookmarkStart w:id="3" w:name="_Hlk54441999"/>
      <w:r>
        <w:rPr>
          <w:rFonts w:ascii="Times New Roman" w:hAnsi="Times New Roman" w:eastAsia="宋体" w:cs="Times New Roman"/>
          <w:sz w:val="21"/>
          <w:szCs w:val="21"/>
        </w:rPr>
        <w:t xml:space="preserve"> bridge head jumping</w:t>
      </w:r>
      <w:bookmarkEnd w:id="3"/>
      <w:r>
        <w:rPr>
          <w:rFonts w:ascii="Times New Roman" w:hAnsi="Times New Roman" w:eastAsia="宋体" w:cs="Times New Roman"/>
          <w:sz w:val="21"/>
          <w:szCs w:val="21"/>
        </w:rPr>
        <w:t xml:space="preserve"> caused by uneven settlement of soft soil subgrade </w:t>
      </w:r>
      <w:r>
        <w:rPr>
          <w:rFonts w:hint="eastAsia" w:ascii="Times New Roman" w:hAnsi="Times New Roman" w:eastAsia="宋体" w:cs="Times New Roman"/>
          <w:sz w:val="21"/>
          <w:szCs w:val="21"/>
        </w:rPr>
        <w:t>at</w:t>
      </w:r>
      <w:r>
        <w:rPr>
          <w:rFonts w:ascii="Times New Roman" w:hAnsi="Times New Roman" w:eastAsia="宋体" w:cs="Times New Roman"/>
          <w:sz w:val="21"/>
          <w:szCs w:val="21"/>
        </w:rPr>
        <w:t xml:space="preserve"> Zhishanghe bridge of G15 Shenhai expressway, a no-excavation treatment scheme of pipe jacking gradual replacement is proposed. Using the three-dimensional numerical simulation method, the influence treatment spacing on the settlement control effect within 10 m along the line direction is analyzed, which provides a reasonable design reference for the treatment scheme. Then the overall analysis of the proposed pipe jacking gradual displacement design scheme is carried out. The results show that the settlement control effect decreases with the increase of pipe jacking spacing.</w:t>
      </w:r>
      <w:r>
        <w:rPr>
          <w:sz w:val="21"/>
          <w:szCs w:val="21"/>
        </w:rPr>
        <w:t xml:space="preserve"> </w:t>
      </w:r>
      <w:r>
        <w:rPr>
          <w:rFonts w:ascii="Times New Roman" w:hAnsi="Times New Roman" w:eastAsia="宋体" w:cs="Times New Roman"/>
          <w:sz w:val="21"/>
          <w:szCs w:val="21"/>
        </w:rPr>
        <w:t>When the spacing is 1.06m, the load reduction is the largest and the settlement control effect is the best. The pipe jacking passes through the embankment to form a similar beam structure, which can well bear the upper load and reduce subgrade settlement. Through the treatment of the bridge head section by pipe jacking gradual change replacement method, the subgrade settlement along the line direction changes gradually, which effectively solves the problem of vehicle bumping at bridge head.</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textAlignment w:val="auto"/>
        <w:outlineLvl w:val="9"/>
        <w:rPr>
          <w:rFonts w:ascii="Times New Roman" w:hAnsi="Times New Roman" w:eastAsia="宋体" w:cs="Times New Roman"/>
          <w:sz w:val="21"/>
          <w:szCs w:val="21"/>
        </w:rPr>
      </w:pPr>
      <w:r>
        <w:rPr>
          <w:rFonts w:ascii="Times New Roman" w:hAnsi="Times New Roman" w:eastAsia="宋体" w:cs="Times New Roman"/>
          <w:b/>
          <w:bCs/>
          <w:sz w:val="21"/>
          <w:szCs w:val="21"/>
        </w:rPr>
        <w:t>Keywords:</w:t>
      </w:r>
      <w:r>
        <w:rPr>
          <w:sz w:val="21"/>
          <w:szCs w:val="21"/>
        </w:rPr>
        <w:t xml:space="preserve"> </w:t>
      </w:r>
      <w:r>
        <w:rPr>
          <w:rFonts w:ascii="Times New Roman" w:hAnsi="Times New Roman" w:eastAsia="宋体" w:cs="Times New Roman"/>
          <w:sz w:val="21"/>
          <w:szCs w:val="21"/>
        </w:rPr>
        <w:t xml:space="preserve">pipe jacking; </w:t>
      </w:r>
      <w:r>
        <w:rPr>
          <w:rFonts w:hint="eastAsia" w:ascii="Times New Roman" w:hAnsi="Times New Roman" w:eastAsia="宋体" w:cs="Times New Roman"/>
          <w:sz w:val="21"/>
          <w:szCs w:val="21"/>
        </w:rPr>
        <w:t>s</w:t>
      </w:r>
      <w:r>
        <w:rPr>
          <w:rFonts w:ascii="Times New Roman" w:hAnsi="Times New Roman" w:eastAsia="宋体" w:cs="Times New Roman"/>
          <w:sz w:val="21"/>
          <w:szCs w:val="21"/>
        </w:rPr>
        <w:t>oft soil subgrade; numerical simulation; bridge head jumping; gradual replacement method</w:t>
      </w:r>
    </w:p>
    <w:commentRangeEnd w:id="10"/>
    <w:p>
      <w:pPr>
        <w:jc w:val="center"/>
        <w:rPr>
          <w:rFonts w:ascii="Times New Roman" w:hAnsi="Times New Roman" w:eastAsia="宋体" w:cs="Times New Roman"/>
          <w:b/>
          <w:bCs/>
          <w:sz w:val="21"/>
          <w:szCs w:val="21"/>
        </w:rPr>
        <w:sectPr>
          <w:headerReference r:id="rId5" w:type="default"/>
          <w:footerReference r:id="rId7" w:type="default"/>
          <w:headerReference r:id="rId6" w:type="even"/>
          <w:pgSz w:w="11906" w:h="16838"/>
          <w:pgMar w:top="1417" w:right="1417" w:bottom="1417" w:left="1417" w:header="851" w:footer="992" w:gutter="0"/>
          <w:cols w:space="425" w:num="1"/>
          <w:docGrid w:type="lines" w:linePitch="312" w:charSpace="0"/>
        </w:sectPr>
      </w:pPr>
      <w:r>
        <w:commentReference w:id="10"/>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rPr>
      </w:pPr>
      <w:r>
        <w:commentReference w:id="11"/>
      </w:r>
      <w:r>
        <w:rPr>
          <w:rFonts w:hint="eastAsia" w:ascii="宋体" w:hAnsi="宋体" w:eastAsia="宋体" w:cs="宋体"/>
        </w:rPr>
        <w:t>在我国的东部沿海地区，桥头跳车是常见病害之一。据有关调查，路桥过渡段的维修费用占总</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sz w:val="18"/>
          <w:szCs w:val="18"/>
          <w:lang w:eastAsia="zh-CN"/>
        </w:rPr>
      </w:pP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宋体" w:hAnsi="宋体" w:eastAsia="宋体" w:cs="宋体"/>
        </w:rPr>
      </w:pPr>
      <w:r>
        <w:rPr>
          <w:rFonts w:hint="eastAsia" w:ascii="黑体" w:hAnsi="黑体" w:eastAsia="黑体" w:cs="黑体"/>
          <w:sz w:val="15"/>
          <w:szCs w:val="15"/>
          <w:lang w:eastAsia="zh-CN"/>
        </w:rPr>
        <w:t>收稿日期：</w:t>
      </w:r>
      <w:r>
        <w:rPr>
          <w:rFonts w:hint="eastAsia" w:ascii="宋体" w:hAnsi="宋体" w:eastAsia="宋体" w:cs="宋体"/>
          <w:sz w:val="15"/>
          <w:szCs w:val="15"/>
          <w:lang w:val="en-US" w:eastAsia="zh-CN"/>
        </w:rPr>
        <w:t>xxxx-xx-xx</w:t>
      </w:r>
      <w:r>
        <w:rPr>
          <w:rFonts w:hint="eastAsia" w:ascii="宋体" w:hAnsi="宋体" w:eastAsia="宋体" w:cs="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宋体" w:hAnsi="宋体" w:eastAsia="宋体" w:cs="宋体"/>
          <w:sz w:val="18"/>
          <w:szCs w:val="18"/>
          <w:lang w:val="en-US" w:eastAsia="zh-CN"/>
        </w:rPr>
      </w:pPr>
      <w:commentRangeStart w:id="12"/>
      <w:r>
        <w:rPr>
          <w:rFonts w:hint="eastAsia" w:ascii="黑体" w:hAnsi="黑体" w:eastAsia="黑体" w:cs="黑体"/>
          <w:sz w:val="15"/>
          <w:szCs w:val="15"/>
          <w:lang w:val="en-US" w:eastAsia="zh-CN"/>
        </w:rPr>
        <w:t>基金项目</w:t>
      </w:r>
      <w:commentRangeEnd w:id="12"/>
      <w:r>
        <w:rPr>
          <w:rFonts w:hint="eastAsia" w:ascii="宋体" w:hAnsi="宋体" w:eastAsia="宋体" w:cs="宋体"/>
          <w:sz w:val="15"/>
          <w:szCs w:val="15"/>
        </w:rPr>
        <w:commentReference w:id="12"/>
      </w:r>
      <w:r>
        <w:rPr>
          <w:rFonts w:hint="eastAsia" w:ascii="宋体" w:hAnsi="宋体" w:eastAsia="宋体" w:cs="宋体"/>
          <w:sz w:val="15"/>
          <w:szCs w:val="15"/>
          <w:lang w:val="en-US" w:eastAsia="zh-CN"/>
        </w:rPr>
        <w:t>：国家自然基金（***），国家重大专项项目（***），省科技基金项目（***）省科技重大专项项目（***）</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宋体" w:hAnsi="宋体" w:eastAsia="宋体" w:cs="宋体"/>
          <w:sz w:val="18"/>
          <w:szCs w:val="18"/>
          <w:lang w:eastAsia="zh-CN"/>
        </w:rPr>
      </w:pPr>
      <w:commentRangeStart w:id="13"/>
      <w:r>
        <w:rPr>
          <w:rFonts w:hint="eastAsia" w:ascii="黑体" w:hAnsi="黑体" w:eastAsia="黑体" w:cs="黑体"/>
          <w:sz w:val="15"/>
          <w:szCs w:val="15"/>
          <w:lang w:eastAsia="zh-CN"/>
        </w:rPr>
        <w:t>作者简介</w:t>
      </w:r>
      <w:commentRangeEnd w:id="13"/>
      <w:r>
        <w:rPr>
          <w:rFonts w:hint="eastAsia" w:ascii="黑体" w:hAnsi="黑体" w:eastAsia="黑体" w:cs="黑体"/>
          <w:sz w:val="15"/>
          <w:szCs w:val="15"/>
        </w:rPr>
        <w:commentReference w:id="13"/>
      </w:r>
      <w:r>
        <w:rPr>
          <w:rFonts w:hint="eastAsia" w:ascii="黑体" w:hAnsi="黑体" w:eastAsia="黑体" w:cs="黑体"/>
          <w:sz w:val="15"/>
          <w:szCs w:val="15"/>
          <w:lang w:eastAsia="zh-CN"/>
        </w:rPr>
        <w:t>：</w:t>
      </w:r>
      <w:r>
        <w:rPr>
          <w:rFonts w:hint="eastAsia" w:ascii="宋体" w:hAnsi="宋体" w:eastAsia="宋体" w:cs="宋体"/>
          <w:b w:val="0"/>
          <w:bCs w:val="0"/>
          <w:sz w:val="15"/>
          <w:szCs w:val="15"/>
        </w:rPr>
        <w:t>柴</w:t>
      </w:r>
      <w:r>
        <w:rPr>
          <w:rFonts w:hint="eastAsia" w:ascii="宋体" w:hAnsi="宋体" w:eastAsia="宋体" w:cs="宋体"/>
          <w:b w:val="0"/>
          <w:bCs w:val="0"/>
          <w:sz w:val="15"/>
          <w:szCs w:val="15"/>
          <w:lang w:val="en-US" w:eastAsia="zh-CN"/>
        </w:rPr>
        <w:t>**</w:t>
      </w:r>
      <w:r>
        <w:rPr>
          <w:rFonts w:hint="eastAsia" w:ascii="宋体" w:hAnsi="宋体" w:eastAsia="宋体" w:cs="宋体"/>
          <w:b w:val="0"/>
          <w:bCs w:val="0"/>
          <w:sz w:val="15"/>
          <w:szCs w:val="15"/>
        </w:rPr>
        <w:t>（1968</w:t>
      </w:r>
      <w:r>
        <w:rPr>
          <w:rFonts w:hint="eastAsia" w:ascii="宋体" w:hAnsi="宋体" w:eastAsia="宋体" w:cs="宋体"/>
          <w:b w:val="0"/>
          <w:bCs w:val="0"/>
          <w:sz w:val="15"/>
          <w:szCs w:val="15"/>
          <w:lang w:eastAsia="zh-CN"/>
        </w:rPr>
        <w:t>—</w:t>
      </w:r>
      <w:r>
        <w:rPr>
          <w:rFonts w:hint="eastAsia" w:ascii="宋体" w:hAnsi="宋体" w:eastAsia="宋体" w:cs="宋体"/>
          <w:b w:val="0"/>
          <w:bCs w:val="0"/>
          <w:sz w:val="15"/>
          <w:szCs w:val="15"/>
        </w:rPr>
        <w:t>），男，河北省承德市人，博士，研究员</w:t>
      </w:r>
      <w:r>
        <w:rPr>
          <w:rFonts w:hint="eastAsia" w:ascii="宋体" w:hAnsi="宋体" w:eastAsia="宋体" w:cs="宋体"/>
          <w:b w:val="0"/>
          <w:bCs w:val="0"/>
          <w:sz w:val="15"/>
          <w:szCs w:val="15"/>
          <w:lang w:eastAsia="zh-CN"/>
        </w:rPr>
        <w:t>，主要从事道路工程与岩石工程及防灾减灾的研究和勘察工作。</w:t>
      </w:r>
      <w:r>
        <w:rPr>
          <w:rFonts w:hint="eastAsia" w:ascii="宋体" w:hAnsi="宋体" w:eastAsia="宋体" w:cs="宋体"/>
          <w:b w:val="0"/>
          <w:bCs w:val="0"/>
          <w:sz w:val="15"/>
          <w:szCs w:val="15"/>
          <w:lang w:val="en-US" w:eastAsia="zh-CN"/>
        </w:rPr>
        <w:t>E-mai：</w:t>
      </w:r>
      <w:r>
        <w:rPr>
          <w:rFonts w:ascii="宋体" w:hAnsi="宋体" w:eastAsia="宋体" w:cs="宋体"/>
          <w:sz w:val="15"/>
          <w:szCs w:val="15"/>
        </w:rPr>
        <w:t>chai</w:t>
      </w:r>
      <w:r>
        <w:rPr>
          <w:rFonts w:hint="eastAsia" w:ascii="宋体" w:hAnsi="宋体" w:eastAsia="宋体" w:cs="宋体"/>
          <w:sz w:val="15"/>
          <w:szCs w:val="15"/>
          <w:lang w:val="en-US" w:eastAsia="zh-CN"/>
        </w:rPr>
        <w:t>****</w:t>
      </w:r>
      <w:r>
        <w:rPr>
          <w:rFonts w:ascii="宋体" w:hAnsi="宋体" w:eastAsia="宋体" w:cs="宋体"/>
          <w:sz w:val="15"/>
          <w:szCs w:val="15"/>
        </w:rPr>
        <w:t>@cmhk.com</w:t>
      </w:r>
      <w:r>
        <w:rPr>
          <w:rFonts w:hint="eastAsia" w:ascii="宋体" w:hAnsi="宋体" w:eastAsia="宋体" w:cs="宋体"/>
          <w:sz w:val="15"/>
          <w:szCs w:val="15"/>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rPr>
      </w:pPr>
      <w:r>
        <w:rPr>
          <w:rFonts w:hint="eastAsia" w:ascii="宋体" w:hAnsi="宋体" w:eastAsia="宋体" w:cs="宋体"/>
        </w:rPr>
        <w:t>费用的70%以上</w:t>
      </w:r>
      <w:r>
        <w:rPr>
          <w:rFonts w:hint="eastAsia" w:ascii="宋体" w:hAnsi="宋体" w:eastAsia="宋体" w:cs="宋体"/>
          <w:vertAlign w:val="superscript"/>
        </w:rPr>
        <w:fldChar w:fldCharType="begin"/>
      </w:r>
      <w:r>
        <w:rPr>
          <w:rFonts w:hint="eastAsia" w:ascii="宋体" w:hAnsi="宋体" w:eastAsia="宋体" w:cs="宋体"/>
          <w:vertAlign w:val="superscript"/>
        </w:rPr>
        <w:instrText xml:space="preserve"> REF _Ref54197277 \r \h  \* MERGEFORMAT </w:instrText>
      </w:r>
      <w:r>
        <w:rPr>
          <w:rFonts w:hint="eastAsia" w:ascii="宋体" w:hAnsi="宋体" w:eastAsia="宋体" w:cs="宋体"/>
          <w:vertAlign w:val="superscript"/>
        </w:rPr>
        <w:fldChar w:fldCharType="separate"/>
      </w:r>
      <w:r>
        <w:rPr>
          <w:rFonts w:hint="eastAsia" w:ascii="宋体" w:hAnsi="宋体" w:eastAsia="宋体" w:cs="宋体"/>
          <w:vertAlign w:val="superscript"/>
        </w:rPr>
        <w:t>[1]</w:t>
      </w:r>
      <w:r>
        <w:rPr>
          <w:rFonts w:hint="eastAsia" w:ascii="宋体" w:hAnsi="宋体" w:eastAsia="宋体" w:cs="宋体"/>
          <w:vertAlign w:val="superscript"/>
        </w:rPr>
        <w:fldChar w:fldCharType="end"/>
      </w:r>
      <w:r>
        <w:rPr>
          <w:rFonts w:hint="eastAsia" w:ascii="宋体" w:hAnsi="宋体" w:eastAsia="宋体" w:cs="宋体"/>
        </w:rPr>
        <w:t>，因此，需要对桥头跳车进行处治。</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rPr>
      </w:pPr>
      <w:r>
        <w:rPr>
          <w:sz w:val="21"/>
        </w:rPr>
        <mc:AlternateContent>
          <mc:Choice Requires="wps">
            <w:drawing>
              <wp:anchor distT="0" distB="0" distL="114300" distR="114300" simplePos="0" relativeHeight="251659264" behindDoc="0" locked="0" layoutInCell="1" allowOverlap="1">
                <wp:simplePos x="0" y="0"/>
                <wp:positionH relativeFrom="column">
                  <wp:posOffset>27940</wp:posOffset>
                </wp:positionH>
                <wp:positionV relativeFrom="paragraph">
                  <wp:posOffset>647065</wp:posOffset>
                </wp:positionV>
                <wp:extent cx="5648325" cy="942975"/>
                <wp:effectExtent l="0" t="0" r="0" b="0"/>
                <wp:wrapNone/>
                <wp:docPr id="1" name="矩形 1"/>
                <wp:cNvGraphicFramePr/>
                <a:graphic xmlns:a="http://schemas.openxmlformats.org/drawingml/2006/main">
                  <a:graphicData uri="http://schemas.microsoft.com/office/word/2010/wordprocessingShape">
                    <wps:wsp>
                      <wps:cNvSpPr/>
                      <wps:spPr>
                        <a:xfrm>
                          <a:off x="937260" y="9685655"/>
                          <a:ext cx="5648325" cy="942975"/>
                        </a:xfrm>
                        <a:prstGeom prst="rect">
                          <a:avLst/>
                        </a:prstGeom>
                        <a:noFill/>
                        <a:ln>
                          <a:noFill/>
                        </a:ln>
                      </wps:spPr>
                      <wps:style>
                        <a:lnRef idx="2">
                          <a:schemeClr val="accent2"/>
                        </a:lnRef>
                        <a:fillRef idx="1">
                          <a:schemeClr val="lt1"/>
                        </a:fillRef>
                        <a:effectRef idx="0">
                          <a:schemeClr val="accent2"/>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pt;margin-top:50.95pt;height:74.25pt;width:444.75pt;z-index:251659264;v-text-anchor:middle;mso-width-relative:page;mso-height-relative:page;" filled="f" stroked="f" coordsize="21600,21600" o:gfxdata="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amslB1wAAAAkBAAAPAAAAAAAAAAEAIAAAACIAAABkcnMvZG93bnJldi54bWxQ&#10;SwECFAAUAAAACACHTuJAoouoqGoCAAC4BAAADgAAAAAAAAABACAAAAAmAQAAZHJzL2Uyb0RvYy54&#10;bWxQSwUGAAAAAAYABgBZAQAAAgYAAAAA&#10;">
                <v:fill on="f" focussize="0,0"/>
                <v:stroke on="f" weight="1pt" miterlimit="8"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  </w:t>
                      </w:r>
                    </w:p>
                  </w:txbxContent>
                </v:textbox>
              </v:rect>
            </w:pict>
          </mc:Fallback>
        </mc:AlternateContent>
      </w:r>
      <w:r>
        <w:rPr>
          <w:rFonts w:hint="eastAsia" w:ascii="宋体" w:hAnsi="宋体" w:eastAsia="宋体" w:cs="宋体"/>
        </w:rPr>
        <w:t>桥头跳车现象主要是因外部车辆荷载长期、反复的作用，使得桥台与道路间产生过大的差异沉降产生</w:t>
      </w:r>
      <w:r>
        <w:rPr>
          <w:rFonts w:hint="eastAsia" w:ascii="宋体" w:hAnsi="宋体" w:eastAsia="宋体" w:cs="宋体"/>
          <w:vertAlign w:val="superscript"/>
        </w:rPr>
        <w:fldChar w:fldCharType="begin"/>
      </w:r>
      <w:r>
        <w:rPr>
          <w:rFonts w:hint="eastAsia" w:ascii="宋体" w:hAnsi="宋体" w:eastAsia="宋体" w:cs="宋体"/>
          <w:vertAlign w:val="superscript"/>
        </w:rPr>
        <w:instrText xml:space="preserve"> REF _Ref54246109 \r \h  \* MERGEFORMAT </w:instrText>
      </w:r>
      <w:r>
        <w:rPr>
          <w:rFonts w:hint="eastAsia" w:ascii="宋体" w:hAnsi="宋体" w:eastAsia="宋体" w:cs="宋体"/>
          <w:vertAlign w:val="superscript"/>
        </w:rPr>
        <w:fldChar w:fldCharType="separate"/>
      </w:r>
      <w:r>
        <w:rPr>
          <w:rFonts w:hint="eastAsia" w:ascii="宋体" w:hAnsi="宋体" w:eastAsia="宋体" w:cs="宋体"/>
          <w:vertAlign w:val="superscript"/>
        </w:rPr>
        <w:t>[2]</w:t>
      </w:r>
      <w:r>
        <w:rPr>
          <w:rFonts w:hint="eastAsia" w:ascii="宋体" w:hAnsi="宋体" w:eastAsia="宋体" w:cs="宋体"/>
          <w:vertAlign w:val="superscript"/>
        </w:rPr>
        <w:fldChar w:fldCharType="end"/>
      </w:r>
      <w:r>
        <w:rPr>
          <w:rFonts w:hint="eastAsia" w:ascii="宋体" w:hAnsi="宋体" w:eastAsia="宋体" w:cs="宋体"/>
        </w:rPr>
        <w:t>，常在软土地区公路中出现。目前，对于桥头跳车处治方法，主要有桥头搭板法、土工格栅法、加铺法和轻质材料置换法等</w:t>
      </w:r>
      <w:r>
        <w:rPr>
          <w:rFonts w:hint="eastAsia" w:ascii="宋体" w:hAnsi="宋体" w:eastAsia="宋体" w:cs="宋体"/>
          <w:vertAlign w:val="superscript"/>
        </w:rPr>
        <w:fldChar w:fldCharType="begin"/>
      </w:r>
      <w:r>
        <w:rPr>
          <w:rFonts w:hint="eastAsia" w:ascii="宋体" w:hAnsi="宋体" w:eastAsia="宋体" w:cs="宋体"/>
          <w:vertAlign w:val="superscript"/>
        </w:rPr>
        <w:instrText xml:space="preserve"> REF _Ref54268667 \r \h  \* MERGEFORMAT </w:instrText>
      </w:r>
      <w:r>
        <w:rPr>
          <w:rFonts w:hint="eastAsia" w:ascii="宋体" w:hAnsi="宋体" w:eastAsia="宋体" w:cs="宋体"/>
          <w:vertAlign w:val="superscript"/>
        </w:rPr>
        <w:fldChar w:fldCharType="separate"/>
      </w:r>
      <w:r>
        <w:rPr>
          <w:rFonts w:hint="eastAsia" w:ascii="宋体" w:hAnsi="宋体" w:eastAsia="宋体" w:cs="宋体"/>
          <w:vertAlign w:val="superscript"/>
        </w:rPr>
        <w:t>[3</w:t>
      </w:r>
      <w:r>
        <w:rPr>
          <w:rFonts w:hint="eastAsia" w:ascii="宋体" w:hAnsi="宋体" w:eastAsia="宋体" w:cs="宋体"/>
          <w:vanish/>
          <w:vertAlign w:val="superscript"/>
        </w:rPr>
        <w:t>]</w:t>
      </w:r>
      <w:r>
        <w:rPr>
          <w:rFonts w:hint="eastAsia" w:ascii="宋体" w:hAnsi="宋体" w:eastAsia="宋体" w:cs="宋体"/>
          <w:vertAlign w:val="superscript"/>
        </w:rPr>
        <w:fldChar w:fldCharType="end"/>
      </w:r>
      <w:r>
        <w:rPr>
          <w:rFonts w:hint="eastAsia" w:ascii="宋体" w:hAnsi="宋体" w:eastAsia="宋体" w:cs="宋体"/>
          <w:vertAlign w:val="superscript"/>
        </w:rPr>
        <w:t>-</w:t>
      </w:r>
      <w:r>
        <w:rPr>
          <w:rFonts w:hint="eastAsia" w:ascii="宋体" w:hAnsi="宋体" w:eastAsia="宋体" w:cs="宋体"/>
          <w:vanish/>
          <w:vertAlign w:val="superscript"/>
        </w:rPr>
        <w:fldChar w:fldCharType="begin"/>
      </w:r>
      <w:r>
        <w:rPr>
          <w:rFonts w:hint="eastAsia" w:ascii="宋体" w:hAnsi="宋体" w:eastAsia="宋体" w:cs="宋体"/>
          <w:vanish/>
          <w:vertAlign w:val="superscript"/>
        </w:rPr>
        <w:instrText xml:space="preserve"> REF _Ref54268675 \r \h  \* MERGEFORMAT </w:instrText>
      </w:r>
      <w:r>
        <w:rPr>
          <w:rFonts w:hint="eastAsia" w:ascii="宋体" w:hAnsi="宋体" w:eastAsia="宋体" w:cs="宋体"/>
          <w:vanish/>
          <w:vertAlign w:val="superscript"/>
        </w:rPr>
        <w:fldChar w:fldCharType="separate"/>
      </w:r>
      <w:r>
        <w:rPr>
          <w:rFonts w:hint="eastAsia" w:ascii="宋体" w:hAnsi="宋体" w:eastAsia="宋体" w:cs="宋体"/>
          <w:vanish/>
          <w:vertAlign w:val="superscript"/>
        </w:rPr>
        <w:t>[4]</w:t>
      </w:r>
      <w:r>
        <w:rPr>
          <w:rFonts w:hint="eastAsia" w:ascii="宋体" w:hAnsi="宋体" w:eastAsia="宋体" w:cs="宋体"/>
          <w:vanish/>
          <w:vertAlign w:val="superscript"/>
        </w:rPr>
        <w:fldChar w:fldCharType="end"/>
      </w:r>
      <w:r>
        <w:rPr>
          <w:rFonts w:hint="eastAsia" w:ascii="宋体" w:hAnsi="宋体" w:eastAsia="宋体" w:cs="宋体"/>
          <w:vertAlign w:val="superscript"/>
        </w:rPr>
        <w:fldChar w:fldCharType="begin"/>
      </w:r>
      <w:r>
        <w:rPr>
          <w:rFonts w:hint="eastAsia" w:ascii="宋体" w:hAnsi="宋体" w:eastAsia="宋体" w:cs="宋体"/>
          <w:vertAlign w:val="superscript"/>
        </w:rPr>
        <w:instrText xml:space="preserve"> REF _Ref54271718 \r \h  \* MERGEFORMAT </w:instrText>
      </w:r>
      <w:r>
        <w:rPr>
          <w:rFonts w:hint="eastAsia" w:ascii="宋体" w:hAnsi="宋体" w:eastAsia="宋体" w:cs="宋体"/>
          <w:vertAlign w:val="superscript"/>
        </w:rPr>
        <w:fldChar w:fldCharType="separate"/>
      </w:r>
      <w:r>
        <w:rPr>
          <w:rFonts w:hint="eastAsia" w:ascii="宋体" w:hAnsi="宋体" w:eastAsia="宋体" w:cs="宋体"/>
          <w:vanish/>
          <w:vertAlign w:val="superscript"/>
        </w:rPr>
        <w:t>[</w:t>
      </w:r>
      <w:r>
        <w:rPr>
          <w:rFonts w:hint="eastAsia" w:ascii="宋体" w:hAnsi="宋体" w:eastAsia="宋体" w:cs="宋体"/>
          <w:vertAlign w:val="superscript"/>
        </w:rPr>
        <w:t>5]</w:t>
      </w:r>
      <w:r>
        <w:rPr>
          <w:rFonts w:hint="eastAsia" w:ascii="宋体" w:hAnsi="宋体" w:eastAsia="宋体" w:cs="宋体"/>
          <w:vertAlign w:val="superscript"/>
        </w:rPr>
        <w:fldChar w:fldCharType="end"/>
      </w:r>
      <w:r>
        <w:rPr>
          <w:rFonts w:hint="eastAsia" w:ascii="宋体" w:hAnsi="宋体" w:eastAsia="宋体" w:cs="宋体"/>
        </w:rPr>
        <w:t>。加铺法和桥头搭板法只能起到一定的减缓作用，后续可能耗费更多的财力物力去维护。土工格栅法及轻质材料置换法需要开挖路面，这对于运营期高速公路而言不太适用，且轻质材料置换法适合于软土较薄路基，有较大的局限性。针对这些问题，提出顶管渐变置换法，该法在不干扰路面正常交通的情况下，采用管道对路堤土进行置换，使得路堤自重降低，从而处治路桥过渡段不均匀沉降问题。Yang S等</w:t>
      </w:r>
      <w:r>
        <w:rPr>
          <w:rFonts w:hint="eastAsia" w:ascii="宋体" w:hAnsi="宋体" w:eastAsia="宋体" w:cs="宋体"/>
          <w:vertAlign w:val="superscript"/>
        </w:rPr>
        <w:fldChar w:fldCharType="begin"/>
      </w:r>
      <w:r>
        <w:rPr>
          <w:rFonts w:hint="eastAsia" w:ascii="宋体" w:hAnsi="宋体" w:eastAsia="宋体" w:cs="宋体"/>
          <w:vertAlign w:val="superscript"/>
        </w:rPr>
        <w:instrText xml:space="preserve"> REF _Ref54726474 \r \h  \* MERGEFORMAT </w:instrText>
      </w:r>
      <w:r>
        <w:rPr>
          <w:rFonts w:hint="eastAsia" w:ascii="宋体" w:hAnsi="宋体" w:eastAsia="宋体" w:cs="宋体"/>
          <w:vertAlign w:val="superscript"/>
        </w:rPr>
        <w:fldChar w:fldCharType="separate"/>
      </w:r>
      <w:r>
        <w:rPr>
          <w:rFonts w:hint="eastAsia" w:ascii="宋体" w:hAnsi="宋体" w:eastAsia="宋体" w:cs="宋体"/>
          <w:vertAlign w:val="superscript"/>
        </w:rPr>
        <w:t>[6]</w:t>
      </w:r>
      <w:r>
        <w:rPr>
          <w:rFonts w:hint="eastAsia" w:ascii="宋体" w:hAnsi="宋体" w:eastAsia="宋体" w:cs="宋体"/>
          <w:vertAlign w:val="superscript"/>
        </w:rPr>
        <w:fldChar w:fldCharType="end"/>
      </w:r>
      <w:r>
        <w:rPr>
          <w:rFonts w:hint="eastAsia" w:ascii="宋体" w:hAnsi="宋体" w:eastAsia="宋体" w:cs="宋体"/>
        </w:rPr>
        <w:t>通过太原火车站隧道穿越工程，对密排顶管进行研究，得到管道过于密集，管道之间的土体会被紧密压缩，形成管-土拱效应；Yang X等</w:t>
      </w:r>
      <w:r>
        <w:rPr>
          <w:rFonts w:hint="eastAsia" w:ascii="宋体" w:hAnsi="宋体" w:eastAsia="宋体" w:cs="宋体"/>
          <w:vertAlign w:val="superscript"/>
        </w:rPr>
        <w:fldChar w:fldCharType="begin"/>
      </w:r>
      <w:r>
        <w:rPr>
          <w:rFonts w:hint="eastAsia" w:ascii="宋体" w:hAnsi="宋体" w:eastAsia="宋体" w:cs="宋体"/>
          <w:vertAlign w:val="superscript"/>
        </w:rPr>
        <w:instrText xml:space="preserve"> REF _Ref54726518 \r \h  \* MERGEFORMAT </w:instrText>
      </w:r>
      <w:r>
        <w:rPr>
          <w:rFonts w:hint="eastAsia" w:ascii="宋体" w:hAnsi="宋体" w:eastAsia="宋体" w:cs="宋体"/>
          <w:vertAlign w:val="superscript"/>
        </w:rPr>
        <w:fldChar w:fldCharType="separate"/>
      </w:r>
      <w:r>
        <w:rPr>
          <w:rFonts w:hint="eastAsia" w:ascii="宋体" w:hAnsi="宋体" w:eastAsia="宋体" w:cs="宋体"/>
          <w:vertAlign w:val="superscript"/>
        </w:rPr>
        <w:t>[7]</w:t>
      </w:r>
      <w:r>
        <w:rPr>
          <w:rFonts w:hint="eastAsia" w:ascii="宋体" w:hAnsi="宋体" w:eastAsia="宋体" w:cs="宋体"/>
          <w:vertAlign w:val="superscript"/>
        </w:rPr>
        <w:fldChar w:fldCharType="end"/>
      </w:r>
      <w:r>
        <w:rPr>
          <w:rFonts w:hint="eastAsia" w:ascii="宋体" w:hAnsi="宋体" w:eastAsia="宋体" w:cs="宋体"/>
        </w:rPr>
        <w:t>以对膨胀土顶管施工中的水溶性泥浆进行改进，使得顶进力显著减小，并提出一种较为简便的顶管顶力计算方法；江正潭</w:t>
      </w:r>
      <w:r>
        <w:rPr>
          <w:rFonts w:hint="eastAsia" w:ascii="宋体" w:hAnsi="宋体" w:eastAsia="宋体" w:cs="宋体"/>
          <w:vertAlign w:val="superscript"/>
        </w:rPr>
        <w:fldChar w:fldCharType="begin"/>
      </w:r>
      <w:r>
        <w:rPr>
          <w:rFonts w:hint="eastAsia" w:ascii="宋体" w:hAnsi="宋体" w:eastAsia="宋体" w:cs="宋体"/>
          <w:vertAlign w:val="superscript"/>
        </w:rPr>
        <w:instrText xml:space="preserve"> REF _Ref54528070 \r \h  \* MERGEFORMAT </w:instrText>
      </w:r>
      <w:r>
        <w:rPr>
          <w:rFonts w:hint="eastAsia" w:ascii="宋体" w:hAnsi="宋体" w:eastAsia="宋体" w:cs="宋体"/>
          <w:vertAlign w:val="superscript"/>
        </w:rPr>
        <w:fldChar w:fldCharType="separate"/>
      </w:r>
      <w:r>
        <w:rPr>
          <w:rFonts w:hint="eastAsia" w:ascii="宋体" w:hAnsi="宋体" w:eastAsia="宋体" w:cs="宋体"/>
          <w:vertAlign w:val="superscript"/>
        </w:rPr>
        <w:t>[8]</w:t>
      </w:r>
      <w:r>
        <w:rPr>
          <w:rFonts w:hint="eastAsia" w:ascii="宋体" w:hAnsi="宋体" w:eastAsia="宋体" w:cs="宋体"/>
          <w:vertAlign w:val="superscript"/>
        </w:rPr>
        <w:fldChar w:fldCharType="end"/>
      </w:r>
      <w:r>
        <w:rPr>
          <w:rFonts w:hint="eastAsia" w:ascii="宋体" w:hAnsi="宋体" w:eastAsia="宋体" w:cs="宋体"/>
        </w:rPr>
        <w:t>在后屠中桥桥头跳车处治中对顶管减载处理方案的施工方案、工艺、控制标准等进行了介绍；包龙生等</w:t>
      </w:r>
      <w:r>
        <w:rPr>
          <w:rFonts w:hint="eastAsia" w:ascii="宋体" w:hAnsi="宋体" w:eastAsia="宋体" w:cs="宋体"/>
          <w:vertAlign w:val="superscript"/>
        </w:rPr>
        <w:fldChar w:fldCharType="begin"/>
      </w:r>
      <w:r>
        <w:rPr>
          <w:rFonts w:hint="eastAsia" w:ascii="宋体" w:hAnsi="宋体" w:eastAsia="宋体" w:cs="宋体"/>
          <w:vertAlign w:val="superscript"/>
        </w:rPr>
        <w:instrText xml:space="preserve"> REF _Ref54272437 \r \h  \* MERGEFORMAT </w:instrText>
      </w:r>
      <w:r>
        <w:rPr>
          <w:rFonts w:hint="eastAsia" w:ascii="宋体" w:hAnsi="宋体" w:eastAsia="宋体" w:cs="宋体"/>
          <w:vertAlign w:val="superscript"/>
        </w:rPr>
        <w:fldChar w:fldCharType="separate"/>
      </w:r>
      <w:r>
        <w:rPr>
          <w:rFonts w:hint="eastAsia" w:ascii="宋体" w:hAnsi="宋体" w:eastAsia="宋体" w:cs="宋体"/>
          <w:vertAlign w:val="superscript"/>
        </w:rPr>
        <w:t>[9]</w:t>
      </w:r>
      <w:r>
        <w:rPr>
          <w:rFonts w:hint="eastAsia" w:ascii="宋体" w:hAnsi="宋体" w:eastAsia="宋体" w:cs="宋体"/>
          <w:vertAlign w:val="superscript"/>
        </w:rPr>
        <w:fldChar w:fldCharType="end"/>
      </w:r>
      <w:r>
        <w:rPr>
          <w:rFonts w:hint="eastAsia" w:ascii="宋体" w:hAnsi="宋体" w:eastAsia="宋体" w:cs="宋体"/>
        </w:rPr>
        <w:t>采用预埋管涵方式对桥头跳车进行处治。但上述研究都未研究间距对处治效果影响，忽略沿路线方向控制沉降平缓过渡的重要性。因此，需要对顶管渐变置换法的参数设计和实施效果进行研究。</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rPr>
      </w:pPr>
      <w:r>
        <w:rPr>
          <w:rFonts w:hint="eastAsia" w:ascii="宋体" w:hAnsi="宋体" w:eastAsia="宋体" w:cs="宋体"/>
        </w:rPr>
        <w:t>本文依托直上河桥路段工程，提出顶管渐变置换非开挖处治方法；通过三维数值模拟首先分析10m范围内不同处治间距对沉降控制的影响规律，为渐变间距提供设计参考；然后对提出的渐变设计方案进行了验证，研究成果可为今后运营期的公路桥头跳车问题处治提供借鉴。</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
          <w:bCs/>
        </w:rPr>
      </w:pPr>
      <w:commentRangeStart w:id="14"/>
      <w:r>
        <w:rPr>
          <w:rFonts w:hint="eastAsia" w:ascii="宋体" w:hAnsi="宋体" w:eastAsia="宋体" w:cs="宋体"/>
          <w:b/>
          <w:bCs/>
        </w:rPr>
        <w:t xml:space="preserve">1 </w:t>
      </w:r>
      <w:r>
        <w:rPr>
          <w:rFonts w:hint="eastAsia" w:ascii="黑体" w:hAnsi="黑体" w:eastAsia="黑体" w:cs="黑体"/>
          <w:b/>
          <w:bCs/>
        </w:rPr>
        <w:t xml:space="preserve"> 工程概况及数值模型的建立</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
          <w:bCs/>
        </w:rPr>
      </w:pPr>
      <w:r>
        <w:rPr>
          <w:rFonts w:hint="eastAsia" w:ascii="宋体" w:hAnsi="宋体" w:eastAsia="宋体" w:cs="宋体"/>
          <w:b/>
          <w:bCs/>
        </w:rPr>
        <w:t>1.1  工程概况</w:t>
      </w:r>
      <w:commentRangeEnd w:id="14"/>
      <w:r>
        <w:commentReference w:id="14"/>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rPr>
      </w:pPr>
      <w:r>
        <w:rPr>
          <w:rFonts w:hint="eastAsia" w:ascii="宋体" w:hAnsi="宋体" w:eastAsia="宋体" w:cs="宋体"/>
        </w:rPr>
        <w:t>本文以G15沈海高速直上河桥路段为工程背景</w:t>
      </w:r>
      <w:r>
        <w:rPr>
          <w:rFonts w:hint="eastAsia" w:ascii="宋体" w:hAnsi="宋体" w:eastAsia="宋体" w:cs="宋体"/>
          <w:lang w:eastAsia="zh-CN"/>
        </w:rPr>
        <w:t>，该</w:t>
      </w:r>
      <w:r>
        <w:rPr>
          <w:rFonts w:hint="eastAsia" w:ascii="宋体" w:hAnsi="宋体" w:eastAsia="宋体" w:cs="宋体"/>
        </w:rPr>
        <w:t>桥宽度约为19.3m，地层分布为黏土、淤泥Ⅰ、淤泥Ⅱ、淤泥质黏土Ⅰ及淤泥质黏土Ⅱ。该桥运营以来</w:t>
      </w:r>
      <w:r>
        <w:rPr>
          <w:rFonts w:hint="eastAsia" w:ascii="宋体" w:hAnsi="宋体" w:eastAsia="宋体" w:cs="宋体"/>
          <w:lang w:eastAsia="zh-CN"/>
        </w:rPr>
        <w:t>，</w:t>
      </w:r>
      <w:r>
        <w:rPr>
          <w:rFonts w:hint="eastAsia" w:ascii="宋体" w:hAnsi="宋体" w:eastAsia="宋体" w:cs="宋体"/>
        </w:rPr>
        <w:t>一直以路面加铺的方式处治桥头跳车现象，历次加铺下来，极大增加了路堤的自重，加剧</w:t>
      </w:r>
      <w:r>
        <w:rPr>
          <w:rFonts w:hint="eastAsia" w:ascii="宋体" w:hAnsi="宋体" w:eastAsia="宋体" w:cs="宋体"/>
          <w:lang w:eastAsia="zh-CN"/>
        </w:rPr>
        <w:t>了</w:t>
      </w:r>
      <w:r>
        <w:rPr>
          <w:rFonts w:hint="eastAsia" w:ascii="宋体" w:hAnsi="宋体" w:eastAsia="宋体" w:cs="宋体"/>
        </w:rPr>
        <w:t>不均匀沉降，</w:t>
      </w:r>
      <w:commentRangeStart w:id="15"/>
      <w:r>
        <w:rPr>
          <w:rFonts w:hint="eastAsia" w:ascii="宋体" w:hAnsi="宋体" w:eastAsia="宋体" w:cs="宋体"/>
        </w:rPr>
        <w:t>如图1所示</w:t>
      </w:r>
      <w:commentRangeEnd w:id="15"/>
      <w:r>
        <w:commentReference w:id="15"/>
      </w:r>
      <w:r>
        <w:rPr>
          <w:rFonts w:hint="eastAsia" w:ascii="宋体" w:hAnsi="宋体" w:eastAsia="宋体" w:cs="宋体"/>
        </w:rPr>
        <w:t>。</w:t>
      </w:r>
    </w:p>
    <w:p>
      <w:pPr>
        <w:jc w:val="center"/>
        <w:rPr>
          <w:rFonts w:ascii="Times New Roman" w:hAnsi="Times New Roman" w:eastAsia="宋体" w:cs="Times New Roman"/>
        </w:rPr>
      </w:pPr>
      <w:r>
        <w:drawing>
          <wp:inline distT="0" distB="0" distL="0" distR="0">
            <wp:extent cx="2620645" cy="1602105"/>
            <wp:effectExtent l="0" t="0" r="825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641543" cy="1615022"/>
                    </a:xfrm>
                    <a:prstGeom prst="rect">
                      <a:avLst/>
                    </a:prstGeom>
                    <a:noFill/>
                    <a:ln>
                      <a:noFill/>
                    </a:ln>
                  </pic:spPr>
                </pic:pic>
              </a:graphicData>
            </a:graphic>
          </wp:inline>
        </w:drawing>
      </w:r>
    </w:p>
    <w:p>
      <w:pPr>
        <w:jc w:val="center"/>
        <w:rPr>
          <w:rFonts w:ascii="Times New Roman" w:hAnsi="Times New Roman" w:eastAsia="宋体" w:cs="Times New Roman"/>
          <w:sz w:val="21"/>
          <w:szCs w:val="21"/>
        </w:rPr>
      </w:pPr>
      <w:commentRangeStart w:id="16"/>
      <w:r>
        <w:rPr>
          <w:rFonts w:hint="eastAsia" w:ascii="宋体" w:hAnsi="宋体" w:eastAsia="宋体" w:cs="宋体"/>
          <w:b/>
          <w:bCs/>
          <w:sz w:val="18"/>
          <w:szCs w:val="18"/>
        </w:rPr>
        <w:t>图1  桥头跳车</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21"/>
          <w:szCs w:val="21"/>
        </w:rPr>
      </w:pPr>
      <w:r>
        <w:rPr>
          <w:rFonts w:ascii="Times New Roman" w:hAnsi="Times New Roman" w:eastAsia="宋体" w:cs="Times New Roman"/>
          <w:sz w:val="21"/>
          <w:szCs w:val="21"/>
        </w:rPr>
        <w:t xml:space="preserve"> </w:t>
      </w:r>
      <w:r>
        <w:rPr>
          <w:rFonts w:ascii="Times New Roman" w:hAnsi="Times New Roman" w:eastAsia="宋体" w:cs="Times New Roman"/>
          <w:b/>
          <w:bCs/>
          <w:sz w:val="21"/>
          <w:szCs w:val="21"/>
        </w:rPr>
        <w:t xml:space="preserve"> </w:t>
      </w:r>
      <w:r>
        <w:rPr>
          <w:rFonts w:ascii="Times New Roman" w:hAnsi="Times New Roman" w:eastAsia="宋体" w:cs="Times New Roman"/>
          <w:b/>
          <w:bCs/>
          <w:sz w:val="18"/>
          <w:szCs w:val="18"/>
        </w:rPr>
        <w:t>Fig.1  Bump at bridge head</w:t>
      </w:r>
      <w:commentRangeEnd w:id="16"/>
      <w:r>
        <w:rPr>
          <w:sz w:val="18"/>
          <w:szCs w:val="18"/>
        </w:rPr>
        <w:commentReference w:id="16"/>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
          <w:bCs/>
        </w:rPr>
      </w:pPr>
      <w:r>
        <w:rPr>
          <w:rFonts w:hint="eastAsia" w:ascii="宋体" w:hAnsi="宋体" w:eastAsia="宋体" w:cs="宋体"/>
          <w:b/>
          <w:bCs/>
        </w:rPr>
        <w:t>1.2  原始路基数值模型的建立</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rPr>
      </w:pPr>
      <w:r>
        <w:rPr>
          <w:rFonts w:hint="eastAsia" w:ascii="宋体" w:hAnsi="宋体" w:eastAsia="宋体" w:cs="宋体"/>
        </w:rPr>
        <w:t>考虑到路基的对称性，取一半对其进行建模分析，原始路基模型如图2所示，并在路面中心、路肩及路堤坡脚各设置1个位移监测点。</w:t>
      </w:r>
    </w:p>
    <w:p>
      <w:pPr>
        <w:jc w:val="center"/>
        <w:rPr>
          <w:rFonts w:ascii="Times New Roman" w:hAnsi="Times New Roman" w:eastAsia="宋体" w:cs="Times New Roman"/>
        </w:rPr>
      </w:pPr>
      <w:r>
        <w:rPr>
          <w:rFonts w:ascii="Times New Roman" w:hAnsi="Times New Roman" w:eastAsia="宋体" w:cs="Times New Roman"/>
        </w:rPr>
        <w:object>
          <v:shape id="_x0000_i1025" o:spt="75" type="#_x0000_t75" style="height:115.5pt;width:228.75pt;" o:ole="t" filled="f" o:preferrelative="t" stroked="f" coordsize="21600,21600">
            <v:path/>
            <v:fill on="f" focussize="0,0"/>
            <v:stroke on="f" joinstyle="miter"/>
            <v:imagedata r:id="rId11" cropright="617f" cropbottom="7448f" o:title=""/>
            <o:lock v:ext="edit" aspectratio="t"/>
            <w10:wrap type="none"/>
            <w10:anchorlock/>
          </v:shape>
          <o:OLEObject Type="Embed" ProgID="PowerPoint.Show.12" ShapeID="_x0000_i1025" DrawAspect="Content" ObjectID="_1468075725" r:id="rId10">
            <o:LockedField>false</o:LockedField>
          </o:OLEObject>
        </w:object>
      </w:r>
    </w:p>
    <w:p>
      <w:pPr>
        <w:jc w:val="center"/>
        <w:rPr>
          <w:rFonts w:hint="eastAsia" w:ascii="宋体" w:hAnsi="宋体" w:eastAsia="宋体" w:cs="宋体"/>
          <w:b/>
          <w:bCs/>
          <w:sz w:val="18"/>
          <w:szCs w:val="18"/>
        </w:rPr>
      </w:pPr>
      <w:r>
        <w:rPr>
          <w:rFonts w:hint="eastAsia" w:ascii="宋体" w:hAnsi="宋体" w:eastAsia="宋体" w:cs="宋体"/>
          <w:b/>
          <w:bCs/>
          <w:sz w:val="18"/>
          <w:szCs w:val="18"/>
        </w:rPr>
        <w:t>图2  原始路基模型</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18"/>
          <w:szCs w:val="18"/>
        </w:rPr>
      </w:pPr>
      <w:r>
        <w:rPr>
          <w:rFonts w:ascii="Times New Roman" w:hAnsi="Times New Roman" w:eastAsia="宋体" w:cs="Times New Roman"/>
          <w:b/>
          <w:bCs/>
          <w:sz w:val="18"/>
          <w:szCs w:val="18"/>
        </w:rPr>
        <w:t>Fig</w:t>
      </w:r>
      <w:r>
        <w:rPr>
          <w:rFonts w:hint="eastAsia" w:ascii="Times New Roman" w:hAnsi="Times New Roman" w:eastAsia="宋体" w:cs="Times New Roman"/>
          <w:b/>
          <w:bCs/>
          <w:sz w:val="18"/>
          <w:szCs w:val="18"/>
        </w:rPr>
        <w:t>.</w:t>
      </w:r>
      <w:r>
        <w:rPr>
          <w:rFonts w:ascii="Times New Roman" w:hAnsi="Times New Roman" w:eastAsia="宋体" w:cs="Times New Roman"/>
          <w:b/>
          <w:bCs/>
          <w:sz w:val="18"/>
          <w:szCs w:val="18"/>
        </w:rPr>
        <w:t>2  Original subgrade model</w:t>
      </w:r>
    </w:p>
    <w:p>
      <w:pPr>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软土地层采用修正剑桥模型模拟，因修正剑桥</w:t>
      </w:r>
      <w:r>
        <w:rPr>
          <w:rFonts w:hint="eastAsia" w:ascii="宋体" w:hAnsi="宋体" w:eastAsia="宋体" w:cs="宋体"/>
          <w:sz w:val="21"/>
          <w:szCs w:val="21"/>
          <w:vertAlign w:val="superscript"/>
        </w:rPr>
        <w:fldChar w:fldCharType="begin"/>
      </w:r>
      <w:r>
        <w:rPr>
          <w:rFonts w:hint="eastAsia" w:ascii="宋体" w:hAnsi="宋体" w:eastAsia="宋体" w:cs="宋体"/>
          <w:sz w:val="21"/>
          <w:szCs w:val="21"/>
          <w:vertAlign w:val="superscript"/>
        </w:rPr>
        <w:instrText xml:space="preserve"> REF _Ref54273456 \r \h  \* MERGEFORMAT </w:instrText>
      </w:r>
      <w:r>
        <w:rPr>
          <w:rFonts w:hint="eastAsia" w:ascii="宋体" w:hAnsi="宋体" w:eastAsia="宋体" w:cs="宋体"/>
          <w:sz w:val="21"/>
          <w:szCs w:val="21"/>
          <w:vertAlign w:val="superscript"/>
        </w:rPr>
        <w:fldChar w:fldCharType="separate"/>
      </w:r>
      <w:r>
        <w:rPr>
          <w:rFonts w:hint="eastAsia" w:ascii="宋体" w:hAnsi="宋体" w:eastAsia="宋体" w:cs="宋体"/>
          <w:sz w:val="21"/>
          <w:szCs w:val="21"/>
          <w:vertAlign w:val="superscript"/>
        </w:rPr>
        <w:t>[10]</w:t>
      </w:r>
      <w:r>
        <w:rPr>
          <w:rFonts w:hint="eastAsia" w:ascii="宋体" w:hAnsi="宋体" w:eastAsia="宋体" w:cs="宋体"/>
          <w:sz w:val="21"/>
          <w:szCs w:val="21"/>
          <w:vertAlign w:val="superscript"/>
        </w:rPr>
        <w:fldChar w:fldCharType="end"/>
      </w:r>
      <w:r>
        <w:rPr>
          <w:rFonts w:hint="eastAsia" w:ascii="宋体" w:hAnsi="宋体" w:eastAsia="宋体" w:cs="宋体"/>
          <w:sz w:val="21"/>
          <w:szCs w:val="21"/>
        </w:rPr>
        <w:t>适合正常固结土和超弱固结土的弹塑性模型，适用于模拟固结压力对材料特性有重要影响的软黏土，路堤填土采用M-C模型模拟，其粘聚力为25.6</w:t>
      </w:r>
      <w:r>
        <w:rPr>
          <w:rFonts w:hint="eastAsia" w:ascii="宋体" w:hAnsi="宋体" w:eastAsia="宋体" w:cs="宋体"/>
          <w:color w:val="000000"/>
          <w:sz w:val="21"/>
          <w:szCs w:val="21"/>
        </w:rPr>
        <w:t xml:space="preserve"> </w:t>
      </w:r>
      <w:commentRangeStart w:id="17"/>
      <w:r>
        <w:rPr>
          <w:rFonts w:hint="eastAsia" w:ascii="宋体" w:hAnsi="宋体" w:eastAsia="宋体" w:cs="宋体"/>
          <w:color w:val="000000"/>
          <w:sz w:val="21"/>
          <w:szCs w:val="21"/>
        </w:rPr>
        <w:t>k</w:t>
      </w:r>
      <w:r>
        <w:rPr>
          <w:rStyle w:val="16"/>
          <w:rFonts w:hint="eastAsia" w:ascii="宋体" w:hAnsi="宋体" w:eastAsia="宋体" w:cs="宋体"/>
          <w:sz w:val="21"/>
          <w:szCs w:val="21"/>
        </w:rPr>
        <w:t>Pa</w:t>
      </w:r>
      <w:commentRangeEnd w:id="17"/>
      <w:r>
        <w:commentReference w:id="17"/>
      </w:r>
      <w:r>
        <w:rPr>
          <w:rStyle w:val="16"/>
          <w:rFonts w:hint="eastAsia" w:ascii="宋体" w:hAnsi="宋体" w:eastAsia="宋体" w:cs="宋体"/>
          <w:sz w:val="21"/>
          <w:szCs w:val="21"/>
        </w:rPr>
        <w:t>，内摩擦</w:t>
      </w:r>
      <w:r>
        <w:rPr>
          <w:rFonts w:hint="eastAsia" w:ascii="宋体" w:hAnsi="宋体" w:eastAsia="宋体" w:cs="宋体"/>
          <w:sz w:val="21"/>
          <w:szCs w:val="21"/>
        </w:rPr>
        <w:t>角29.8</w:t>
      </w:r>
      <w:r>
        <w:rPr>
          <w:rFonts w:hint="eastAsia" w:ascii="宋体" w:hAnsi="宋体" w:eastAsia="宋体" w:cs="宋体"/>
          <w:color w:val="000000"/>
          <w:sz w:val="21"/>
          <w:szCs w:val="21"/>
        </w:rPr>
        <w:t xml:space="preserve"> °</w:t>
      </w:r>
      <w:r>
        <w:rPr>
          <w:rStyle w:val="16"/>
          <w:rFonts w:hint="eastAsia" w:ascii="宋体" w:hAnsi="宋体" w:eastAsia="宋体" w:cs="宋体"/>
          <w:sz w:val="21"/>
          <w:szCs w:val="21"/>
        </w:rPr>
        <w:t>，土层参数如表1所示</w:t>
      </w:r>
      <w:r>
        <w:rPr>
          <w:rFonts w:hint="eastAsia" w:ascii="宋体" w:hAnsi="宋体" w:eastAsia="宋体" w:cs="宋体"/>
          <w:sz w:val="21"/>
          <w:szCs w:val="21"/>
        </w:rPr>
        <w:t>。固结沉降分为主固结和次固结，主固结为粘弹性沉降，采用FLAC</w:t>
      </w:r>
      <w:r>
        <w:rPr>
          <w:rFonts w:hint="eastAsia" w:ascii="宋体" w:hAnsi="宋体" w:eastAsia="宋体" w:cs="宋体"/>
          <w:sz w:val="21"/>
          <w:szCs w:val="21"/>
          <w:vertAlign w:val="superscript"/>
        </w:rPr>
        <w:t>3D</w:t>
      </w:r>
      <w:r>
        <w:rPr>
          <w:rFonts w:hint="eastAsia" w:ascii="宋体" w:hAnsi="宋体" w:eastAsia="宋体" w:cs="宋体"/>
          <w:sz w:val="21"/>
          <w:szCs w:val="21"/>
        </w:rPr>
        <w:t>流固耦合分析；次固结为粘弹性和粘塑性沉降，采用Burgers模型模拟，固结计算参数如表2所示。交通荷载取</w:t>
      </w:r>
      <w:commentRangeStart w:id="18"/>
      <w:r>
        <w:rPr>
          <w:rFonts w:hint="eastAsia" w:ascii="宋体" w:hAnsi="宋体" w:eastAsia="宋体" w:cs="宋体"/>
          <w:sz w:val="21"/>
          <w:szCs w:val="21"/>
        </w:rPr>
        <w:t>14kN/m</w:t>
      </w:r>
      <w:r>
        <w:rPr>
          <w:rFonts w:hint="eastAsia" w:ascii="宋体" w:hAnsi="宋体" w:eastAsia="宋体" w:cs="宋体"/>
          <w:sz w:val="21"/>
          <w:szCs w:val="21"/>
          <w:vertAlign w:val="superscript"/>
        </w:rPr>
        <w:t>2</w:t>
      </w:r>
      <w:commentRangeEnd w:id="18"/>
      <w:r>
        <w:commentReference w:id="18"/>
      </w:r>
      <w:r>
        <w:rPr>
          <w:rFonts w:hint="eastAsia" w:ascii="宋体" w:hAnsi="宋体" w:eastAsia="宋体" w:cs="宋体"/>
          <w:sz w:val="21"/>
          <w:szCs w:val="21"/>
        </w:rPr>
        <w:t>的均布应力施加于路面上。</w:t>
      </w:r>
    </w:p>
    <w:p>
      <w:pPr>
        <w:keepNext w:val="0"/>
        <w:keepLines w:val="0"/>
        <w:pageBreakBefore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b/>
          <w:bCs/>
          <w:sz w:val="21"/>
          <w:szCs w:val="21"/>
        </w:rPr>
      </w:pPr>
      <w:r>
        <w:rPr>
          <w:rFonts w:hint="eastAsia" w:ascii="宋体" w:hAnsi="宋体" w:eastAsia="宋体" w:cs="宋体"/>
          <w:b/>
          <w:bCs/>
          <w:sz w:val="21"/>
          <w:szCs w:val="21"/>
        </w:rPr>
        <w:t>1.3  数值模型验证</w:t>
      </w:r>
    </w:p>
    <w:p>
      <w:pPr>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对数值模型计算19年，即2000</w:t>
      </w:r>
      <w:r>
        <w:rPr>
          <w:rFonts w:hint="eastAsia" w:ascii="宋体" w:hAnsi="宋体" w:eastAsia="宋体" w:cs="宋体"/>
          <w:sz w:val="21"/>
          <w:szCs w:val="21"/>
          <w:lang w:eastAsia="zh-CN"/>
        </w:rPr>
        <w:t>—</w:t>
      </w:r>
      <w:r>
        <w:rPr>
          <w:rFonts w:hint="eastAsia" w:ascii="宋体" w:hAnsi="宋体" w:eastAsia="宋体" w:cs="宋体"/>
          <w:sz w:val="21"/>
          <w:szCs w:val="21"/>
        </w:rPr>
        <w:t>2019年，其数值模拟结果曲线与现场监测数据如图3所示。从图</w:t>
      </w:r>
      <w:r>
        <w:rPr>
          <w:rFonts w:hint="eastAsia" w:ascii="宋体" w:hAnsi="宋体" w:eastAsia="宋体" w:cs="宋体"/>
          <w:sz w:val="21"/>
          <w:szCs w:val="21"/>
          <w:lang w:val="en-US" w:eastAsia="zh-CN"/>
        </w:rPr>
        <w:t>3</w:t>
      </w:r>
      <w:r>
        <w:rPr>
          <w:rFonts w:hint="eastAsia" w:ascii="宋体" w:hAnsi="宋体" w:eastAsia="宋体" w:cs="宋体"/>
          <w:sz w:val="21"/>
          <w:szCs w:val="21"/>
        </w:rPr>
        <w:t>中看出，数值模拟曲线与实际现场监测数据拟合较好，验证了数值模型的可行性。继续对模型进行运算至2039年，从图3中</w:t>
      </w:r>
      <w:r>
        <w:rPr>
          <w:rFonts w:hint="eastAsia" w:ascii="宋体" w:hAnsi="宋体" w:eastAsia="宋体" w:cs="宋体"/>
          <w:sz w:val="21"/>
          <w:szCs w:val="21"/>
          <w:lang w:eastAsia="zh-CN"/>
        </w:rPr>
        <w:t>还</w:t>
      </w:r>
      <w:r>
        <w:rPr>
          <w:rFonts w:hint="eastAsia" w:ascii="宋体" w:hAnsi="宋体" w:eastAsia="宋体" w:cs="宋体"/>
          <w:sz w:val="21"/>
          <w:szCs w:val="21"/>
        </w:rPr>
        <w:t>可看出，20年后，路面最大沉降量达到0.539m，如果不进行处治将会产生严重的桥头跳车问题。</w:t>
      </w:r>
    </w:p>
    <w:p>
      <w:pPr>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eastAsia="宋体" w:cs="宋体"/>
          <w:sz w:val="21"/>
          <w:szCs w:val="21"/>
        </w:rPr>
        <w:sectPr>
          <w:type w:val="continuous"/>
          <w:pgSz w:w="11906" w:h="16838"/>
          <w:pgMar w:top="1417" w:right="1417" w:bottom="1417" w:left="1417" w:header="851" w:footer="992" w:gutter="0"/>
          <w:cols w:space="425" w:num="1"/>
          <w:docGrid w:type="lines" w:linePitch="312" w:charSpace="0"/>
        </w:sectPr>
      </w:pPr>
    </w:p>
    <w:p>
      <w:pPr>
        <w:pStyle w:val="15"/>
        <w:keepNext w:val="0"/>
        <w:keepLines w:val="0"/>
        <w:pageBreakBefore w:val="0"/>
        <w:kinsoku/>
        <w:wordWrap/>
        <w:overflowPunct/>
        <w:topLinePunct w:val="0"/>
        <w:autoSpaceDE/>
        <w:autoSpaceDN/>
        <w:bidi w:val="0"/>
        <w:adjustRightInd/>
        <w:snapToGrid/>
        <w:spacing w:before="0" w:beforeLines="0" w:line="500" w:lineRule="exact"/>
        <w:ind w:left="0" w:leftChars="0" w:right="0" w:rightChars="0"/>
        <w:textAlignment w:val="auto"/>
        <w:outlineLvl w:val="9"/>
        <w:rPr>
          <w:rFonts w:hint="eastAsia" w:ascii="宋体" w:hAnsi="宋体" w:eastAsia="宋体" w:cs="宋体"/>
          <w:b/>
          <w:bCs w:val="0"/>
          <w:sz w:val="18"/>
          <w:szCs w:val="18"/>
        </w:rPr>
      </w:pPr>
      <w:commentRangeStart w:id="19"/>
      <w:commentRangeStart w:id="20"/>
      <w:r>
        <w:rPr>
          <w:rFonts w:hint="eastAsia" w:ascii="宋体" w:hAnsi="宋体" w:eastAsia="宋体" w:cs="宋体"/>
          <w:b/>
          <w:bCs w:val="0"/>
          <w:sz w:val="18"/>
          <w:szCs w:val="18"/>
        </w:rPr>
        <w:t>表1  土层参数</w:t>
      </w:r>
    </w:p>
    <w:p>
      <w:pPr>
        <w:pStyle w:val="15"/>
        <w:keepNext w:val="0"/>
        <w:keepLines w:val="0"/>
        <w:pageBreakBefore w:val="0"/>
        <w:kinsoku/>
        <w:wordWrap/>
        <w:overflowPunct/>
        <w:topLinePunct w:val="0"/>
        <w:autoSpaceDE/>
        <w:autoSpaceDN/>
        <w:bidi w:val="0"/>
        <w:adjustRightInd/>
        <w:snapToGrid/>
        <w:spacing w:before="0" w:beforeLines="0" w:line="500" w:lineRule="exact"/>
        <w:ind w:left="0" w:leftChars="0" w:right="0" w:rightChars="0"/>
        <w:textAlignment w:val="auto"/>
        <w:outlineLvl w:val="9"/>
        <w:rPr>
          <w:rFonts w:eastAsia="宋体" w:cs="Times New Roman"/>
          <w:b/>
          <w:bCs w:val="0"/>
          <w:sz w:val="21"/>
          <w:szCs w:val="21"/>
        </w:rPr>
      </w:pPr>
      <w:r>
        <w:rPr>
          <w:rFonts w:eastAsia="宋体" w:cs="Times New Roman"/>
          <w:b/>
          <w:bCs w:val="0"/>
          <w:sz w:val="18"/>
          <w:szCs w:val="18"/>
        </w:rPr>
        <w:t>Table 1  Soil layer parameters</w:t>
      </w:r>
      <w:commentRangeEnd w:id="19"/>
      <w:r>
        <w:rPr>
          <w:sz w:val="18"/>
          <w:szCs w:val="18"/>
        </w:rPr>
        <w:commentReference w:id="19"/>
      </w:r>
      <w:commentRangeEnd w:id="20"/>
      <w:r>
        <w:commentReference w:id="20"/>
      </w:r>
    </w:p>
    <w:tbl>
      <w:tblPr>
        <w:tblStyle w:val="10"/>
        <w:tblW w:w="9340"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17"/>
        <w:gridCol w:w="899"/>
        <w:gridCol w:w="1017"/>
        <w:gridCol w:w="726"/>
        <w:gridCol w:w="1015"/>
        <w:gridCol w:w="1017"/>
        <w:gridCol w:w="1017"/>
        <w:gridCol w:w="871"/>
        <w:gridCol w:w="1161"/>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jc w:val="center"/>
        </w:trPr>
        <w:tc>
          <w:tcPr>
            <w:tcW w:w="1617" w:type="dxa"/>
            <w:tcBorders>
              <w:top w:val="single" w:color="auto" w:sz="12" w:space="0"/>
              <w:bottom w:val="single" w:color="auto" w:sz="6" w:space="0"/>
            </w:tcBorders>
            <w:vAlign w:val="center"/>
          </w:tcPr>
          <w:p>
            <w:pPr>
              <w:jc w:val="center"/>
              <w:rPr>
                <w:rFonts w:hint="eastAsia" w:ascii="宋体" w:hAnsi="宋体" w:eastAsia="宋体" w:cs="宋体"/>
                <w:sz w:val="18"/>
                <w:szCs w:val="18"/>
              </w:rPr>
            </w:pPr>
            <w:r>
              <w:rPr>
                <w:rFonts w:hint="eastAsia" w:ascii="宋体" w:hAnsi="宋体" w:eastAsia="宋体" w:cs="宋体"/>
                <w:sz w:val="18"/>
                <w:szCs w:val="18"/>
              </w:rPr>
              <w:t>土层</w:t>
            </w:r>
          </w:p>
        </w:tc>
        <w:tc>
          <w:tcPr>
            <w:tcW w:w="899" w:type="dxa"/>
            <w:tcBorders>
              <w:top w:val="single" w:color="auto" w:sz="12" w:space="0"/>
              <w:bottom w:val="single" w:color="auto" w:sz="6" w:space="0"/>
            </w:tcBorders>
            <w:vAlign w:val="center"/>
          </w:tcPr>
          <w:p>
            <w:pPr>
              <w:jc w:val="center"/>
              <w:rPr>
                <w:rFonts w:hint="eastAsia" w:ascii="宋体" w:hAnsi="宋体" w:eastAsia="宋体" w:cs="宋体"/>
                <w:sz w:val="18"/>
                <w:szCs w:val="18"/>
              </w:rPr>
            </w:pPr>
            <w:r>
              <w:rPr>
                <w:rFonts w:hint="eastAsia" w:ascii="宋体" w:hAnsi="宋体" w:eastAsia="宋体" w:cs="宋体"/>
                <w:sz w:val="18"/>
                <w:szCs w:val="18"/>
              </w:rPr>
              <w:t>厚度/m</w:t>
            </w:r>
          </w:p>
        </w:tc>
        <w:tc>
          <w:tcPr>
            <w:tcW w:w="1017" w:type="dxa"/>
            <w:tcBorders>
              <w:top w:val="single" w:color="auto" w:sz="12" w:space="0"/>
              <w:bottom w:val="single" w:color="auto" w:sz="6" w:space="0"/>
            </w:tcBorders>
            <w:vAlign w:val="center"/>
          </w:tcPr>
          <w:p>
            <w:pPr>
              <w:jc w:val="center"/>
              <w:rPr>
                <w:rFonts w:hint="eastAsia" w:ascii="宋体" w:hAnsi="宋体" w:eastAsia="宋体" w:cs="宋体"/>
                <w:sz w:val="18"/>
                <w:szCs w:val="18"/>
              </w:rPr>
            </w:pPr>
            <w:r>
              <w:rPr>
                <w:rFonts w:hint="eastAsia" w:ascii="宋体" w:hAnsi="宋体" w:eastAsia="宋体" w:cs="宋体"/>
                <w:color w:val="000000"/>
                <w:sz w:val="18"/>
                <w:szCs w:val="18"/>
              </w:rPr>
              <w:t>密度/(</w:t>
            </w:r>
            <w:r>
              <w:rPr>
                <w:rStyle w:val="16"/>
                <w:rFonts w:hint="eastAsia" w:ascii="宋体" w:hAnsi="宋体" w:eastAsia="宋体" w:cs="宋体"/>
                <w:sz w:val="18"/>
                <w:szCs w:val="18"/>
              </w:rPr>
              <w:t>kg</w:t>
            </w:r>
            <w:r>
              <w:rPr>
                <w:rFonts w:hint="eastAsia" w:ascii="宋体" w:hAnsi="宋体" w:eastAsia="宋体" w:cs="宋体"/>
                <w:sz w:val="18"/>
                <w:szCs w:val="18"/>
              </w:rPr>
              <w:t>·</w:t>
            </w:r>
            <w:r>
              <w:rPr>
                <w:rStyle w:val="16"/>
                <w:rFonts w:hint="eastAsia" w:ascii="宋体" w:hAnsi="宋体" w:eastAsia="宋体" w:cs="宋体"/>
                <w:sz w:val="18"/>
                <w:szCs w:val="18"/>
              </w:rPr>
              <w:t>m</w:t>
            </w:r>
            <w:r>
              <w:rPr>
                <w:rStyle w:val="16"/>
                <w:rFonts w:hint="eastAsia" w:ascii="宋体" w:hAnsi="宋体" w:eastAsia="宋体" w:cs="宋体"/>
                <w:sz w:val="18"/>
                <w:szCs w:val="18"/>
                <w:vertAlign w:val="superscript"/>
              </w:rPr>
              <w:t>-3</w:t>
            </w:r>
            <w:r>
              <w:rPr>
                <w:rFonts w:hint="eastAsia" w:ascii="宋体" w:hAnsi="宋体" w:eastAsia="宋体" w:cs="宋体"/>
                <w:color w:val="000000"/>
                <w:sz w:val="18"/>
                <w:szCs w:val="18"/>
              </w:rPr>
              <w:t>)</w:t>
            </w:r>
          </w:p>
        </w:tc>
        <w:tc>
          <w:tcPr>
            <w:tcW w:w="726" w:type="dxa"/>
            <w:tcBorders>
              <w:top w:val="single" w:color="auto" w:sz="12" w:space="0"/>
              <w:bottom w:val="single" w:color="auto" w:sz="6" w:space="0"/>
            </w:tcBorders>
            <w:vAlign w:val="center"/>
          </w:tcPr>
          <w:p>
            <w:pPr>
              <w:spacing w:line="0" w:lineRule="atLeast"/>
              <w:jc w:val="center"/>
              <w:rPr>
                <w:rFonts w:hint="eastAsia" w:ascii="宋体" w:hAnsi="宋体" w:eastAsia="宋体" w:cs="宋体"/>
                <w:sz w:val="18"/>
                <w:szCs w:val="18"/>
              </w:rPr>
            </w:pPr>
            <w:r>
              <w:rPr>
                <w:rFonts w:hint="eastAsia" w:ascii="宋体" w:hAnsi="宋体" w:eastAsia="宋体" w:cs="宋体"/>
                <w:sz w:val="18"/>
                <w:szCs w:val="18"/>
              </w:rPr>
              <w:t>泊松比</w:t>
            </w:r>
            <w:r>
              <w:rPr>
                <w:rFonts w:hint="eastAsia" w:ascii="宋体" w:hAnsi="宋体" w:eastAsia="宋体" w:cs="宋体"/>
                <w:i/>
                <w:iCs/>
                <w:sz w:val="18"/>
                <w:szCs w:val="18"/>
              </w:rPr>
              <w:t>ν</w:t>
            </w:r>
          </w:p>
        </w:tc>
        <w:tc>
          <w:tcPr>
            <w:tcW w:w="1015" w:type="dxa"/>
            <w:tcBorders>
              <w:top w:val="single" w:color="auto" w:sz="12" w:space="0"/>
              <w:bottom w:val="single" w:color="auto" w:sz="6" w:space="0"/>
            </w:tcBorders>
            <w:vAlign w:val="center"/>
          </w:tcPr>
          <w:p>
            <w:pPr>
              <w:spacing w:line="0" w:lineRule="atLeast"/>
              <w:jc w:val="center"/>
              <w:rPr>
                <w:rFonts w:hint="eastAsia" w:ascii="宋体" w:hAnsi="宋体" w:eastAsia="宋体" w:cs="宋体"/>
                <w:sz w:val="18"/>
                <w:szCs w:val="18"/>
              </w:rPr>
            </w:pPr>
            <w:r>
              <w:rPr>
                <w:rFonts w:hint="eastAsia" w:ascii="宋体" w:hAnsi="宋体" w:eastAsia="宋体" w:cs="宋体"/>
                <w:sz w:val="18"/>
                <w:szCs w:val="18"/>
              </w:rPr>
              <w:t>临界状态应力比</w:t>
            </w:r>
            <w:r>
              <w:rPr>
                <w:rFonts w:hint="eastAsia" w:ascii="宋体" w:hAnsi="宋体" w:eastAsia="宋体" w:cs="宋体"/>
                <w:i/>
                <w:sz w:val="18"/>
                <w:szCs w:val="18"/>
              </w:rPr>
              <w:t>M</w:t>
            </w:r>
          </w:p>
        </w:tc>
        <w:tc>
          <w:tcPr>
            <w:tcW w:w="1017" w:type="dxa"/>
            <w:tcBorders>
              <w:top w:val="single" w:color="auto" w:sz="12" w:space="0"/>
              <w:bottom w:val="single" w:color="auto" w:sz="6" w:space="0"/>
            </w:tcBorders>
            <w:vAlign w:val="center"/>
          </w:tcPr>
          <w:p>
            <w:pPr>
              <w:jc w:val="center"/>
              <w:rPr>
                <w:rFonts w:hint="eastAsia" w:ascii="宋体" w:hAnsi="宋体" w:eastAsia="宋体" w:cs="宋体"/>
                <w:sz w:val="18"/>
                <w:szCs w:val="18"/>
              </w:rPr>
            </w:pPr>
            <w:r>
              <w:rPr>
                <w:rFonts w:hint="eastAsia" w:ascii="宋体" w:hAnsi="宋体" w:eastAsia="宋体" w:cs="宋体"/>
                <w:sz w:val="18"/>
                <w:szCs w:val="18"/>
              </w:rPr>
              <w:t>等向压缩线斜率</w:t>
            </w:r>
            <w:r>
              <w:rPr>
                <w:rFonts w:hint="eastAsia" w:ascii="宋体" w:hAnsi="宋体" w:eastAsia="宋体" w:cs="宋体"/>
                <w:b/>
                <w:bCs/>
                <w:i/>
                <w:iCs/>
                <w:sz w:val="18"/>
                <w:szCs w:val="18"/>
              </w:rPr>
              <w:t>λ</w:t>
            </w:r>
          </w:p>
        </w:tc>
        <w:tc>
          <w:tcPr>
            <w:tcW w:w="1017" w:type="dxa"/>
            <w:tcBorders>
              <w:top w:val="single" w:color="auto" w:sz="12" w:space="0"/>
              <w:bottom w:val="single" w:color="auto" w:sz="6" w:space="0"/>
            </w:tcBorders>
            <w:vAlign w:val="center"/>
          </w:tcPr>
          <w:p>
            <w:pPr>
              <w:jc w:val="center"/>
              <w:rPr>
                <w:rFonts w:hint="eastAsia" w:ascii="宋体" w:hAnsi="宋体" w:eastAsia="宋体" w:cs="宋体"/>
                <w:sz w:val="18"/>
                <w:szCs w:val="18"/>
              </w:rPr>
            </w:pPr>
            <w:r>
              <w:rPr>
                <w:rFonts w:hint="eastAsia" w:ascii="宋体" w:hAnsi="宋体" w:eastAsia="宋体" w:cs="宋体"/>
                <w:sz w:val="18"/>
                <w:szCs w:val="18"/>
              </w:rPr>
              <w:t>等向回弹线斜率</w:t>
            </w:r>
            <w:r>
              <w:rPr>
                <w:rFonts w:hint="eastAsia" w:ascii="宋体" w:hAnsi="宋体" w:eastAsia="宋体" w:cs="宋体"/>
                <w:i/>
                <w:iCs/>
                <w:sz w:val="18"/>
                <w:szCs w:val="18"/>
              </w:rPr>
              <w:t>К</w:t>
            </w:r>
          </w:p>
        </w:tc>
        <w:tc>
          <w:tcPr>
            <w:tcW w:w="871" w:type="dxa"/>
            <w:tcBorders>
              <w:top w:val="single" w:color="auto" w:sz="12" w:space="0"/>
              <w:bottom w:val="single" w:color="auto" w:sz="6" w:space="0"/>
            </w:tcBorders>
            <w:vAlign w:val="center"/>
          </w:tcPr>
          <w:p>
            <w:pPr>
              <w:jc w:val="center"/>
              <w:rPr>
                <w:rFonts w:hint="eastAsia" w:ascii="宋体" w:hAnsi="宋体" w:eastAsia="宋体" w:cs="宋体"/>
                <w:sz w:val="18"/>
                <w:szCs w:val="18"/>
              </w:rPr>
            </w:pPr>
            <w:r>
              <w:rPr>
                <w:rFonts w:hint="eastAsia" w:ascii="宋体" w:hAnsi="宋体" w:eastAsia="宋体" w:cs="宋体"/>
                <w:sz w:val="18"/>
                <w:szCs w:val="18"/>
              </w:rPr>
              <w:t>参考比容</w:t>
            </w:r>
            <w:r>
              <w:rPr>
                <w:rFonts w:hint="eastAsia" w:ascii="宋体" w:hAnsi="宋体" w:eastAsia="宋体" w:cs="宋体"/>
                <w:b/>
                <w:bCs/>
                <w:i/>
                <w:iCs/>
                <w:sz w:val="18"/>
                <w:szCs w:val="18"/>
              </w:rPr>
              <w:t>г</w:t>
            </w:r>
          </w:p>
        </w:tc>
        <w:tc>
          <w:tcPr>
            <w:tcW w:w="1161" w:type="dxa"/>
            <w:tcBorders>
              <w:top w:val="single" w:color="auto" w:sz="12" w:space="0"/>
              <w:bottom w:val="single" w:color="auto" w:sz="6" w:space="0"/>
            </w:tcBorders>
            <w:vAlign w:val="center"/>
          </w:tcPr>
          <w:p>
            <w:pPr>
              <w:jc w:val="center"/>
              <w:rPr>
                <w:rFonts w:hint="eastAsia" w:ascii="宋体" w:hAnsi="宋体" w:eastAsia="宋体" w:cs="宋体"/>
                <w:sz w:val="18"/>
                <w:szCs w:val="18"/>
              </w:rPr>
            </w:pPr>
            <w:r>
              <w:rPr>
                <w:rFonts w:hint="eastAsia" w:ascii="宋体" w:hAnsi="宋体" w:eastAsia="宋体" w:cs="宋体"/>
                <w:sz w:val="18"/>
                <w:szCs w:val="18"/>
              </w:rPr>
              <w:t>先期固结压力</w:t>
            </w:r>
            <w:r>
              <w:rPr>
                <w:rFonts w:hint="eastAsia" w:ascii="宋体" w:hAnsi="宋体" w:eastAsia="宋体" w:cs="宋体"/>
                <w:i/>
                <w:sz w:val="18"/>
                <w:szCs w:val="18"/>
              </w:rPr>
              <w:t>p</w:t>
            </w:r>
            <w:r>
              <w:rPr>
                <w:rFonts w:hint="eastAsia" w:ascii="宋体" w:hAnsi="宋体" w:eastAsia="宋体" w:cs="宋体"/>
                <w:i/>
                <w:sz w:val="18"/>
                <w:szCs w:val="18"/>
                <w:vertAlign w:val="subscript"/>
              </w:rPr>
              <w:t>c0</w:t>
            </w:r>
            <w:r>
              <w:rPr>
                <w:rFonts w:hint="eastAsia" w:ascii="宋体" w:hAnsi="宋体" w:eastAsia="宋体" w:cs="宋体"/>
                <w:sz w:val="18"/>
                <w:szCs w:val="18"/>
              </w:rPr>
              <w:t>/</w:t>
            </w:r>
            <w:r>
              <w:rPr>
                <w:rFonts w:hint="eastAsia" w:ascii="宋体" w:hAnsi="宋体" w:eastAsia="宋体" w:cs="宋体"/>
                <w:sz w:val="18"/>
                <w:szCs w:val="18"/>
                <w:lang w:val="en-US" w:eastAsia="zh-CN"/>
              </w:rPr>
              <w:t>k</w:t>
            </w:r>
            <w:r>
              <w:rPr>
                <w:rFonts w:hint="eastAsia" w:ascii="宋体" w:hAnsi="宋体" w:eastAsia="宋体" w:cs="宋体"/>
                <w:sz w:val="18"/>
                <w:szCs w:val="18"/>
              </w:rPr>
              <w:t>Pa</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1617" w:type="dxa"/>
            <w:tcBorders>
              <w:top w:val="single" w:color="auto" w:sz="6" w:space="0"/>
            </w:tcBorders>
          </w:tcPr>
          <w:p>
            <w:pPr>
              <w:jc w:val="center"/>
              <w:rPr>
                <w:rFonts w:hint="eastAsia" w:ascii="宋体" w:hAnsi="宋体" w:eastAsia="宋体" w:cs="宋体"/>
                <w:sz w:val="18"/>
                <w:szCs w:val="18"/>
              </w:rPr>
            </w:pPr>
            <w:r>
              <w:rPr>
                <w:rFonts w:hint="eastAsia" w:ascii="宋体" w:hAnsi="宋体" w:eastAsia="宋体" w:cs="宋体"/>
                <w:sz w:val="18"/>
                <w:szCs w:val="18"/>
              </w:rPr>
              <w:t>路堤填土</w:t>
            </w:r>
          </w:p>
        </w:tc>
        <w:tc>
          <w:tcPr>
            <w:tcW w:w="899" w:type="dxa"/>
            <w:tcBorders>
              <w:top w:val="single" w:color="auto" w:sz="6" w:space="0"/>
            </w:tcBorders>
          </w:tcPr>
          <w:p>
            <w:pPr>
              <w:jc w:val="center"/>
              <w:rPr>
                <w:rFonts w:hint="eastAsia" w:ascii="宋体" w:hAnsi="宋体" w:eastAsia="宋体" w:cs="宋体"/>
                <w:sz w:val="18"/>
                <w:szCs w:val="18"/>
              </w:rPr>
            </w:pPr>
            <w:r>
              <w:rPr>
                <w:rFonts w:hint="eastAsia" w:ascii="宋体" w:hAnsi="宋体" w:eastAsia="宋体" w:cs="宋体"/>
                <w:sz w:val="18"/>
                <w:szCs w:val="18"/>
              </w:rPr>
              <w:t>3.5</w:t>
            </w:r>
          </w:p>
        </w:tc>
        <w:tc>
          <w:tcPr>
            <w:tcW w:w="1017" w:type="dxa"/>
            <w:tcBorders>
              <w:top w:val="single" w:color="auto" w:sz="6" w:space="0"/>
            </w:tcBorders>
          </w:tcPr>
          <w:p>
            <w:pPr>
              <w:jc w:val="center"/>
              <w:rPr>
                <w:rFonts w:hint="eastAsia" w:ascii="宋体" w:hAnsi="宋体" w:eastAsia="宋体" w:cs="宋体"/>
                <w:sz w:val="18"/>
                <w:szCs w:val="18"/>
              </w:rPr>
            </w:pPr>
            <w:r>
              <w:rPr>
                <w:rFonts w:hint="eastAsia" w:ascii="宋体" w:hAnsi="宋体" w:eastAsia="宋体" w:cs="宋体"/>
                <w:sz w:val="18"/>
                <w:szCs w:val="18"/>
              </w:rPr>
              <w:t>2100</w:t>
            </w:r>
          </w:p>
        </w:tc>
        <w:tc>
          <w:tcPr>
            <w:tcW w:w="726" w:type="dxa"/>
            <w:tcBorders>
              <w:top w:val="single" w:color="auto" w:sz="6" w:space="0"/>
            </w:tcBorders>
          </w:tcPr>
          <w:p>
            <w:pPr>
              <w:jc w:val="center"/>
              <w:rPr>
                <w:rFonts w:hint="eastAsia" w:ascii="宋体" w:hAnsi="宋体" w:eastAsia="宋体" w:cs="宋体"/>
                <w:sz w:val="18"/>
                <w:szCs w:val="18"/>
              </w:rPr>
            </w:pPr>
            <w:r>
              <w:rPr>
                <w:rFonts w:hint="eastAsia" w:ascii="宋体" w:hAnsi="宋体" w:eastAsia="宋体" w:cs="宋体"/>
                <w:sz w:val="18"/>
                <w:szCs w:val="18"/>
              </w:rPr>
              <w:t>0.25</w:t>
            </w:r>
          </w:p>
        </w:tc>
        <w:tc>
          <w:tcPr>
            <w:tcW w:w="1015" w:type="dxa"/>
            <w:tcBorders>
              <w:top w:val="single" w:color="auto" w:sz="6" w:space="0"/>
            </w:tcBorders>
          </w:tcPr>
          <w:p>
            <w:pPr>
              <w:jc w:val="center"/>
              <w:rPr>
                <w:rFonts w:hint="eastAsia" w:ascii="宋体" w:hAnsi="宋体" w:eastAsia="宋体" w:cs="宋体"/>
                <w:sz w:val="18"/>
                <w:szCs w:val="18"/>
              </w:rPr>
            </w:pPr>
            <w:r>
              <w:rPr>
                <w:rFonts w:hint="eastAsia" w:ascii="宋体" w:hAnsi="宋体" w:eastAsia="宋体" w:cs="宋体"/>
                <w:sz w:val="18"/>
                <w:szCs w:val="18"/>
              </w:rPr>
              <w:t>-</w:t>
            </w:r>
          </w:p>
        </w:tc>
        <w:tc>
          <w:tcPr>
            <w:tcW w:w="1017" w:type="dxa"/>
            <w:tcBorders>
              <w:top w:val="single" w:color="auto" w:sz="6" w:space="0"/>
            </w:tcBorders>
          </w:tcPr>
          <w:p>
            <w:pPr>
              <w:jc w:val="center"/>
              <w:rPr>
                <w:rFonts w:hint="eastAsia" w:ascii="宋体" w:hAnsi="宋体" w:eastAsia="宋体" w:cs="宋体"/>
                <w:sz w:val="18"/>
                <w:szCs w:val="18"/>
              </w:rPr>
            </w:pPr>
            <w:r>
              <w:rPr>
                <w:rFonts w:hint="eastAsia" w:ascii="宋体" w:hAnsi="宋体" w:eastAsia="宋体" w:cs="宋体"/>
                <w:sz w:val="18"/>
                <w:szCs w:val="18"/>
              </w:rPr>
              <w:t>-</w:t>
            </w:r>
          </w:p>
        </w:tc>
        <w:tc>
          <w:tcPr>
            <w:tcW w:w="1017" w:type="dxa"/>
            <w:tcBorders>
              <w:top w:val="single" w:color="auto" w:sz="6" w:space="0"/>
            </w:tcBorders>
          </w:tcPr>
          <w:p>
            <w:pPr>
              <w:jc w:val="center"/>
              <w:rPr>
                <w:rFonts w:hint="eastAsia" w:ascii="宋体" w:hAnsi="宋体" w:eastAsia="宋体" w:cs="宋体"/>
                <w:sz w:val="18"/>
                <w:szCs w:val="18"/>
              </w:rPr>
            </w:pPr>
            <w:r>
              <w:rPr>
                <w:rFonts w:hint="eastAsia" w:ascii="宋体" w:hAnsi="宋体" w:eastAsia="宋体" w:cs="宋体"/>
                <w:sz w:val="18"/>
                <w:szCs w:val="18"/>
              </w:rPr>
              <w:t>-</w:t>
            </w:r>
          </w:p>
        </w:tc>
        <w:tc>
          <w:tcPr>
            <w:tcW w:w="871" w:type="dxa"/>
            <w:tcBorders>
              <w:top w:val="single" w:color="auto" w:sz="6" w:space="0"/>
            </w:tcBorders>
          </w:tcPr>
          <w:p>
            <w:pPr>
              <w:jc w:val="center"/>
              <w:rPr>
                <w:rFonts w:hint="eastAsia" w:ascii="宋体" w:hAnsi="宋体" w:eastAsia="宋体" w:cs="宋体"/>
                <w:sz w:val="18"/>
                <w:szCs w:val="18"/>
              </w:rPr>
            </w:pPr>
            <w:r>
              <w:rPr>
                <w:rFonts w:hint="eastAsia" w:ascii="宋体" w:hAnsi="宋体" w:eastAsia="宋体" w:cs="宋体"/>
                <w:sz w:val="18"/>
                <w:szCs w:val="18"/>
              </w:rPr>
              <w:t>-</w:t>
            </w:r>
          </w:p>
        </w:tc>
        <w:tc>
          <w:tcPr>
            <w:tcW w:w="1161" w:type="dxa"/>
            <w:tcBorders>
              <w:top w:val="single" w:color="auto" w:sz="6" w:space="0"/>
            </w:tcBorders>
          </w:tcPr>
          <w:p>
            <w:pPr>
              <w:jc w:val="center"/>
              <w:rPr>
                <w:rFonts w:hint="eastAsia" w:ascii="宋体" w:hAnsi="宋体" w:eastAsia="宋体" w:cs="宋体"/>
                <w:sz w:val="18"/>
                <w:szCs w:val="18"/>
              </w:rPr>
            </w:pPr>
            <w:r>
              <w:rPr>
                <w:rFonts w:hint="eastAsia" w:ascii="宋体" w:hAnsi="宋体" w:eastAsia="宋体" w:cs="宋体"/>
                <w:sz w:val="18"/>
                <w:szCs w:val="18"/>
              </w:rPr>
              <w: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1617" w:type="dxa"/>
          </w:tcPr>
          <w:p>
            <w:pPr>
              <w:jc w:val="center"/>
              <w:rPr>
                <w:rFonts w:hint="eastAsia" w:ascii="宋体" w:hAnsi="宋体" w:eastAsia="宋体" w:cs="宋体"/>
                <w:sz w:val="18"/>
                <w:szCs w:val="18"/>
              </w:rPr>
            </w:pPr>
            <w:r>
              <w:rPr>
                <w:rFonts w:hint="eastAsia" w:ascii="宋体" w:hAnsi="宋体" w:eastAsia="宋体" w:cs="宋体"/>
                <w:sz w:val="18"/>
                <w:szCs w:val="18"/>
              </w:rPr>
              <w:t>黏土</w:t>
            </w:r>
          </w:p>
        </w:tc>
        <w:tc>
          <w:tcPr>
            <w:tcW w:w="899"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1.3</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1.84</w:t>
            </w:r>
          </w:p>
        </w:tc>
        <w:tc>
          <w:tcPr>
            <w:tcW w:w="726" w:type="dxa"/>
          </w:tcPr>
          <w:p>
            <w:pPr>
              <w:jc w:val="center"/>
              <w:rPr>
                <w:rFonts w:hint="eastAsia" w:ascii="宋体" w:hAnsi="宋体" w:eastAsia="宋体" w:cs="宋体"/>
                <w:sz w:val="18"/>
                <w:szCs w:val="18"/>
              </w:rPr>
            </w:pPr>
            <w:r>
              <w:rPr>
                <w:rFonts w:hint="eastAsia" w:ascii="宋体" w:hAnsi="宋体" w:eastAsia="宋体" w:cs="宋体"/>
                <w:sz w:val="18"/>
                <w:szCs w:val="18"/>
              </w:rPr>
              <w:t>0.35</w:t>
            </w:r>
          </w:p>
        </w:tc>
        <w:tc>
          <w:tcPr>
            <w:tcW w:w="1015" w:type="dxa"/>
          </w:tcPr>
          <w:p>
            <w:pPr>
              <w:jc w:val="center"/>
              <w:rPr>
                <w:rFonts w:hint="eastAsia" w:ascii="宋体" w:hAnsi="宋体" w:eastAsia="宋体" w:cs="宋体"/>
                <w:sz w:val="18"/>
                <w:szCs w:val="18"/>
              </w:rPr>
            </w:pPr>
            <w:r>
              <w:rPr>
                <w:rFonts w:hint="eastAsia" w:ascii="宋体" w:hAnsi="宋体" w:eastAsia="宋体" w:cs="宋体"/>
                <w:sz w:val="18"/>
                <w:szCs w:val="18"/>
              </w:rPr>
              <w:t>0.607</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0.112</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0.011</w:t>
            </w:r>
          </w:p>
        </w:tc>
        <w:tc>
          <w:tcPr>
            <w:tcW w:w="871" w:type="dxa"/>
          </w:tcPr>
          <w:p>
            <w:pPr>
              <w:jc w:val="center"/>
              <w:rPr>
                <w:rFonts w:hint="eastAsia" w:ascii="宋体" w:hAnsi="宋体" w:eastAsia="宋体" w:cs="宋体"/>
                <w:sz w:val="18"/>
                <w:szCs w:val="18"/>
              </w:rPr>
            </w:pPr>
            <w:r>
              <w:rPr>
                <w:rFonts w:hint="eastAsia" w:ascii="宋体" w:hAnsi="宋体" w:eastAsia="宋体" w:cs="宋体"/>
                <w:sz w:val="18"/>
                <w:szCs w:val="18"/>
              </w:rPr>
              <w:t>2.011</w:t>
            </w:r>
          </w:p>
        </w:tc>
        <w:tc>
          <w:tcPr>
            <w:tcW w:w="1161" w:type="dxa"/>
          </w:tcPr>
          <w:p>
            <w:pPr>
              <w:jc w:val="center"/>
              <w:rPr>
                <w:rFonts w:hint="eastAsia" w:ascii="宋体" w:hAnsi="宋体" w:eastAsia="宋体" w:cs="宋体"/>
                <w:sz w:val="18"/>
                <w:szCs w:val="18"/>
              </w:rPr>
            </w:pPr>
            <w:r>
              <w:rPr>
                <w:rFonts w:hint="eastAsia" w:ascii="宋体" w:hAnsi="宋体" w:eastAsia="宋体" w:cs="宋体"/>
                <w:sz w:val="18"/>
                <w:szCs w:val="18"/>
              </w:rPr>
              <w:t>169</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1617" w:type="dxa"/>
          </w:tcPr>
          <w:p>
            <w:pPr>
              <w:jc w:val="center"/>
              <w:rPr>
                <w:rFonts w:hint="eastAsia" w:ascii="宋体" w:hAnsi="宋体" w:eastAsia="宋体" w:cs="宋体"/>
                <w:sz w:val="18"/>
                <w:szCs w:val="18"/>
              </w:rPr>
            </w:pPr>
            <w:r>
              <w:rPr>
                <w:rFonts w:hint="eastAsia" w:ascii="宋体" w:hAnsi="宋体" w:eastAsia="宋体" w:cs="宋体"/>
                <w:sz w:val="18"/>
                <w:szCs w:val="18"/>
              </w:rPr>
              <w:t>淤泥Ⅰ</w:t>
            </w:r>
          </w:p>
        </w:tc>
        <w:tc>
          <w:tcPr>
            <w:tcW w:w="899"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13.2</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1.60</w:t>
            </w:r>
          </w:p>
        </w:tc>
        <w:tc>
          <w:tcPr>
            <w:tcW w:w="726" w:type="dxa"/>
          </w:tcPr>
          <w:p>
            <w:pPr>
              <w:jc w:val="center"/>
              <w:rPr>
                <w:rFonts w:hint="eastAsia" w:ascii="宋体" w:hAnsi="宋体" w:eastAsia="宋体" w:cs="宋体"/>
                <w:sz w:val="18"/>
                <w:szCs w:val="18"/>
              </w:rPr>
            </w:pPr>
            <w:r>
              <w:rPr>
                <w:rFonts w:hint="eastAsia" w:ascii="宋体" w:hAnsi="宋体" w:eastAsia="宋体" w:cs="宋体"/>
                <w:sz w:val="18"/>
                <w:szCs w:val="18"/>
              </w:rPr>
              <w:t>0.42</w:t>
            </w:r>
          </w:p>
        </w:tc>
        <w:tc>
          <w:tcPr>
            <w:tcW w:w="1015" w:type="dxa"/>
          </w:tcPr>
          <w:p>
            <w:pPr>
              <w:jc w:val="center"/>
              <w:rPr>
                <w:rFonts w:hint="eastAsia" w:ascii="宋体" w:hAnsi="宋体" w:eastAsia="宋体" w:cs="宋体"/>
                <w:sz w:val="18"/>
                <w:szCs w:val="18"/>
              </w:rPr>
            </w:pPr>
            <w:r>
              <w:rPr>
                <w:rFonts w:hint="eastAsia" w:ascii="宋体" w:hAnsi="宋体" w:eastAsia="宋体" w:cs="宋体"/>
                <w:sz w:val="18"/>
                <w:szCs w:val="18"/>
              </w:rPr>
              <w:t>0.640</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0.275</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0.028</w:t>
            </w:r>
          </w:p>
        </w:tc>
        <w:tc>
          <w:tcPr>
            <w:tcW w:w="871" w:type="dxa"/>
          </w:tcPr>
          <w:p>
            <w:pPr>
              <w:jc w:val="center"/>
              <w:rPr>
                <w:rFonts w:hint="eastAsia" w:ascii="宋体" w:hAnsi="宋体" w:eastAsia="宋体" w:cs="宋体"/>
                <w:sz w:val="18"/>
                <w:szCs w:val="18"/>
              </w:rPr>
            </w:pPr>
            <w:r>
              <w:rPr>
                <w:rFonts w:hint="eastAsia" w:ascii="宋体" w:hAnsi="宋体" w:eastAsia="宋体" w:cs="宋体"/>
                <w:sz w:val="18"/>
                <w:szCs w:val="18"/>
              </w:rPr>
              <w:t>2.862</w:t>
            </w:r>
          </w:p>
        </w:tc>
        <w:tc>
          <w:tcPr>
            <w:tcW w:w="1161" w:type="dxa"/>
          </w:tcPr>
          <w:p>
            <w:pPr>
              <w:jc w:val="center"/>
              <w:rPr>
                <w:rFonts w:hint="eastAsia" w:ascii="宋体" w:hAnsi="宋体" w:eastAsia="宋体" w:cs="宋体"/>
                <w:sz w:val="18"/>
                <w:szCs w:val="18"/>
              </w:rPr>
            </w:pPr>
            <w:r>
              <w:rPr>
                <w:rFonts w:hint="eastAsia" w:ascii="宋体" w:hAnsi="宋体" w:eastAsia="宋体" w:cs="宋体"/>
                <w:sz w:val="18"/>
                <w:szCs w:val="18"/>
              </w:rPr>
              <w:t>98.5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1617" w:type="dxa"/>
          </w:tcPr>
          <w:p>
            <w:pPr>
              <w:jc w:val="center"/>
              <w:rPr>
                <w:rFonts w:hint="eastAsia" w:ascii="宋体" w:hAnsi="宋体" w:eastAsia="宋体" w:cs="宋体"/>
                <w:sz w:val="18"/>
                <w:szCs w:val="18"/>
              </w:rPr>
            </w:pPr>
            <w:r>
              <w:rPr>
                <w:rFonts w:hint="eastAsia" w:ascii="宋体" w:hAnsi="宋体" w:eastAsia="宋体" w:cs="宋体"/>
                <w:sz w:val="18"/>
                <w:szCs w:val="18"/>
              </w:rPr>
              <w:t>淤泥Ⅱ</w:t>
            </w:r>
          </w:p>
        </w:tc>
        <w:tc>
          <w:tcPr>
            <w:tcW w:w="899"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14.5</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1.62</w:t>
            </w:r>
          </w:p>
        </w:tc>
        <w:tc>
          <w:tcPr>
            <w:tcW w:w="726" w:type="dxa"/>
          </w:tcPr>
          <w:p>
            <w:pPr>
              <w:jc w:val="center"/>
              <w:rPr>
                <w:rFonts w:hint="eastAsia" w:ascii="宋体" w:hAnsi="宋体" w:eastAsia="宋体" w:cs="宋体"/>
                <w:sz w:val="18"/>
                <w:szCs w:val="18"/>
              </w:rPr>
            </w:pPr>
            <w:r>
              <w:rPr>
                <w:rFonts w:hint="eastAsia" w:ascii="宋体" w:hAnsi="宋体" w:eastAsia="宋体" w:cs="宋体"/>
                <w:sz w:val="18"/>
                <w:szCs w:val="18"/>
              </w:rPr>
              <w:t>0.42</w:t>
            </w:r>
          </w:p>
        </w:tc>
        <w:tc>
          <w:tcPr>
            <w:tcW w:w="1015" w:type="dxa"/>
          </w:tcPr>
          <w:p>
            <w:pPr>
              <w:jc w:val="center"/>
              <w:rPr>
                <w:rFonts w:hint="eastAsia" w:ascii="宋体" w:hAnsi="宋体" w:eastAsia="宋体" w:cs="宋体"/>
                <w:sz w:val="18"/>
                <w:szCs w:val="18"/>
              </w:rPr>
            </w:pPr>
            <w:r>
              <w:rPr>
                <w:rFonts w:hint="eastAsia" w:ascii="宋体" w:hAnsi="宋体" w:eastAsia="宋体" w:cs="宋体"/>
                <w:sz w:val="18"/>
                <w:szCs w:val="18"/>
              </w:rPr>
              <w:t>0.648</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0.252</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0.025</w:t>
            </w:r>
          </w:p>
        </w:tc>
        <w:tc>
          <w:tcPr>
            <w:tcW w:w="871" w:type="dxa"/>
          </w:tcPr>
          <w:p>
            <w:pPr>
              <w:jc w:val="center"/>
              <w:rPr>
                <w:rFonts w:hint="eastAsia" w:ascii="宋体" w:hAnsi="宋体" w:eastAsia="宋体" w:cs="宋体"/>
                <w:sz w:val="18"/>
                <w:szCs w:val="18"/>
              </w:rPr>
            </w:pPr>
            <w:r>
              <w:rPr>
                <w:rFonts w:hint="eastAsia" w:ascii="宋体" w:hAnsi="宋体" w:eastAsia="宋体" w:cs="宋体"/>
                <w:sz w:val="18"/>
                <w:szCs w:val="18"/>
              </w:rPr>
              <w:t>2.767</w:t>
            </w:r>
          </w:p>
        </w:tc>
        <w:tc>
          <w:tcPr>
            <w:tcW w:w="1161" w:type="dxa"/>
          </w:tcPr>
          <w:p>
            <w:pPr>
              <w:jc w:val="center"/>
              <w:rPr>
                <w:rFonts w:hint="eastAsia" w:ascii="宋体" w:hAnsi="宋体" w:eastAsia="宋体" w:cs="宋体"/>
                <w:sz w:val="18"/>
                <w:szCs w:val="18"/>
              </w:rPr>
            </w:pPr>
            <w:r>
              <w:rPr>
                <w:rFonts w:hint="eastAsia" w:ascii="宋体" w:hAnsi="宋体" w:eastAsia="宋体" w:cs="宋体"/>
                <w:sz w:val="18"/>
                <w:szCs w:val="18"/>
              </w:rPr>
              <w:t>58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1617" w:type="dxa"/>
          </w:tcPr>
          <w:p>
            <w:pPr>
              <w:jc w:val="center"/>
              <w:rPr>
                <w:rFonts w:hint="eastAsia" w:ascii="宋体" w:hAnsi="宋体" w:eastAsia="宋体" w:cs="宋体"/>
                <w:sz w:val="18"/>
                <w:szCs w:val="18"/>
              </w:rPr>
            </w:pPr>
            <w:r>
              <w:rPr>
                <w:rFonts w:hint="eastAsia" w:ascii="宋体" w:hAnsi="宋体" w:eastAsia="宋体" w:cs="宋体"/>
                <w:sz w:val="18"/>
                <w:szCs w:val="18"/>
              </w:rPr>
              <w:t>淤泥质黏土Ⅰ</w:t>
            </w:r>
          </w:p>
        </w:tc>
        <w:tc>
          <w:tcPr>
            <w:tcW w:w="899"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11.6</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1.73</w:t>
            </w:r>
          </w:p>
        </w:tc>
        <w:tc>
          <w:tcPr>
            <w:tcW w:w="726" w:type="dxa"/>
          </w:tcPr>
          <w:p>
            <w:pPr>
              <w:jc w:val="center"/>
              <w:rPr>
                <w:rFonts w:hint="eastAsia" w:ascii="宋体" w:hAnsi="宋体" w:eastAsia="宋体" w:cs="宋体"/>
                <w:sz w:val="18"/>
                <w:szCs w:val="18"/>
              </w:rPr>
            </w:pPr>
            <w:r>
              <w:rPr>
                <w:rFonts w:hint="eastAsia" w:ascii="宋体" w:hAnsi="宋体" w:eastAsia="宋体" w:cs="宋体"/>
                <w:sz w:val="18"/>
                <w:szCs w:val="18"/>
              </w:rPr>
              <w:t>0.40</w:t>
            </w:r>
          </w:p>
        </w:tc>
        <w:tc>
          <w:tcPr>
            <w:tcW w:w="1015" w:type="dxa"/>
          </w:tcPr>
          <w:p>
            <w:pPr>
              <w:jc w:val="center"/>
              <w:rPr>
                <w:rFonts w:hint="eastAsia" w:ascii="宋体" w:hAnsi="宋体" w:eastAsia="宋体" w:cs="宋体"/>
                <w:sz w:val="18"/>
                <w:szCs w:val="18"/>
              </w:rPr>
            </w:pPr>
            <w:r>
              <w:rPr>
                <w:rFonts w:hint="eastAsia" w:ascii="宋体" w:hAnsi="宋体" w:eastAsia="宋体" w:cs="宋体"/>
                <w:sz w:val="18"/>
                <w:szCs w:val="18"/>
              </w:rPr>
              <w:t>0.653</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0.168</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0.017</w:t>
            </w:r>
          </w:p>
        </w:tc>
        <w:tc>
          <w:tcPr>
            <w:tcW w:w="871" w:type="dxa"/>
          </w:tcPr>
          <w:p>
            <w:pPr>
              <w:jc w:val="center"/>
              <w:rPr>
                <w:rFonts w:hint="eastAsia" w:ascii="宋体" w:hAnsi="宋体" w:eastAsia="宋体" w:cs="宋体"/>
                <w:sz w:val="18"/>
                <w:szCs w:val="18"/>
              </w:rPr>
            </w:pPr>
            <w:r>
              <w:rPr>
                <w:rFonts w:hint="eastAsia" w:ascii="宋体" w:hAnsi="宋体" w:eastAsia="宋体" w:cs="宋体"/>
                <w:sz w:val="18"/>
                <w:szCs w:val="18"/>
              </w:rPr>
              <w:t>2.303</w:t>
            </w:r>
          </w:p>
        </w:tc>
        <w:tc>
          <w:tcPr>
            <w:tcW w:w="1161" w:type="dxa"/>
          </w:tcPr>
          <w:p>
            <w:pPr>
              <w:jc w:val="center"/>
              <w:rPr>
                <w:rFonts w:hint="eastAsia" w:ascii="宋体" w:hAnsi="宋体" w:eastAsia="宋体" w:cs="宋体"/>
                <w:sz w:val="18"/>
                <w:szCs w:val="18"/>
              </w:rPr>
            </w:pPr>
            <w:r>
              <w:rPr>
                <w:rFonts w:hint="eastAsia" w:ascii="宋体" w:hAnsi="宋体" w:eastAsia="宋体" w:cs="宋体"/>
                <w:sz w:val="18"/>
                <w:szCs w:val="18"/>
              </w:rPr>
              <w:t>31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617" w:type="dxa"/>
          </w:tcPr>
          <w:p>
            <w:pPr>
              <w:jc w:val="center"/>
              <w:rPr>
                <w:rFonts w:hint="eastAsia" w:ascii="宋体" w:hAnsi="宋体" w:eastAsia="宋体" w:cs="宋体"/>
                <w:sz w:val="18"/>
                <w:szCs w:val="18"/>
              </w:rPr>
            </w:pPr>
            <w:r>
              <w:rPr>
                <w:rFonts w:hint="eastAsia" w:ascii="宋体" w:hAnsi="宋体" w:eastAsia="宋体" w:cs="宋体"/>
                <w:sz w:val="18"/>
                <w:szCs w:val="18"/>
              </w:rPr>
              <w:t>淤泥质黏土Ⅱ</w:t>
            </w:r>
          </w:p>
        </w:tc>
        <w:tc>
          <w:tcPr>
            <w:tcW w:w="899"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7.8</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1.72</w:t>
            </w:r>
          </w:p>
        </w:tc>
        <w:tc>
          <w:tcPr>
            <w:tcW w:w="726" w:type="dxa"/>
          </w:tcPr>
          <w:p>
            <w:pPr>
              <w:jc w:val="center"/>
              <w:rPr>
                <w:rFonts w:hint="eastAsia" w:ascii="宋体" w:hAnsi="宋体" w:eastAsia="宋体" w:cs="宋体"/>
                <w:sz w:val="18"/>
                <w:szCs w:val="18"/>
              </w:rPr>
            </w:pPr>
            <w:r>
              <w:rPr>
                <w:rFonts w:hint="eastAsia" w:ascii="宋体" w:hAnsi="宋体" w:eastAsia="宋体" w:cs="宋体"/>
                <w:sz w:val="18"/>
                <w:szCs w:val="18"/>
              </w:rPr>
              <w:t>0.40</w:t>
            </w:r>
          </w:p>
        </w:tc>
        <w:tc>
          <w:tcPr>
            <w:tcW w:w="1015" w:type="dxa"/>
          </w:tcPr>
          <w:p>
            <w:pPr>
              <w:jc w:val="center"/>
              <w:rPr>
                <w:rFonts w:hint="eastAsia" w:ascii="宋体" w:hAnsi="宋体" w:eastAsia="宋体" w:cs="宋体"/>
                <w:sz w:val="18"/>
                <w:szCs w:val="18"/>
              </w:rPr>
            </w:pPr>
            <w:r>
              <w:rPr>
                <w:rFonts w:hint="eastAsia" w:ascii="宋体" w:hAnsi="宋体" w:eastAsia="宋体" w:cs="宋体"/>
                <w:sz w:val="18"/>
                <w:szCs w:val="18"/>
              </w:rPr>
              <w:t>0.660</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0.168</w:t>
            </w:r>
          </w:p>
        </w:tc>
        <w:tc>
          <w:tcPr>
            <w:tcW w:w="1017" w:type="dxa"/>
          </w:tcPr>
          <w:p>
            <w:pPr>
              <w:jc w:val="center"/>
              <w:rPr>
                <w:rFonts w:hint="eastAsia" w:ascii="宋体" w:hAnsi="宋体" w:eastAsia="宋体" w:cs="宋体"/>
                <w:sz w:val="18"/>
                <w:szCs w:val="18"/>
              </w:rPr>
            </w:pPr>
            <w:r>
              <w:rPr>
                <w:rFonts w:hint="eastAsia" w:ascii="宋体" w:hAnsi="宋体" w:eastAsia="宋体" w:cs="宋体"/>
                <w:sz w:val="18"/>
                <w:szCs w:val="18"/>
              </w:rPr>
              <w:t>0.017</w:t>
            </w:r>
          </w:p>
        </w:tc>
        <w:tc>
          <w:tcPr>
            <w:tcW w:w="871" w:type="dxa"/>
          </w:tcPr>
          <w:p>
            <w:pPr>
              <w:jc w:val="center"/>
              <w:rPr>
                <w:rFonts w:hint="eastAsia" w:ascii="宋体" w:hAnsi="宋体" w:eastAsia="宋体" w:cs="宋体"/>
                <w:sz w:val="18"/>
                <w:szCs w:val="18"/>
              </w:rPr>
            </w:pPr>
            <w:r>
              <w:rPr>
                <w:rFonts w:hint="eastAsia" w:ascii="宋体" w:hAnsi="宋体" w:eastAsia="宋体" w:cs="宋体"/>
                <w:sz w:val="18"/>
                <w:szCs w:val="18"/>
              </w:rPr>
              <w:t>2.381</w:t>
            </w:r>
          </w:p>
        </w:tc>
        <w:tc>
          <w:tcPr>
            <w:tcW w:w="1161" w:type="dxa"/>
          </w:tcPr>
          <w:p>
            <w:pPr>
              <w:jc w:val="center"/>
              <w:rPr>
                <w:rFonts w:hint="eastAsia" w:ascii="宋体" w:hAnsi="宋体" w:eastAsia="宋体" w:cs="宋体"/>
                <w:sz w:val="18"/>
                <w:szCs w:val="18"/>
              </w:rPr>
            </w:pPr>
            <w:r>
              <w:rPr>
                <w:rFonts w:hint="eastAsia" w:ascii="宋体" w:hAnsi="宋体" w:eastAsia="宋体" w:cs="宋体"/>
                <w:sz w:val="18"/>
                <w:szCs w:val="18"/>
              </w:rPr>
              <w:t>96</w:t>
            </w:r>
          </w:p>
        </w:tc>
      </w:tr>
    </w:tbl>
    <w:p>
      <w:pPr>
        <w:pStyle w:val="15"/>
        <w:keepNext w:val="0"/>
        <w:keepLines w:val="0"/>
        <w:pageBreakBefore w:val="0"/>
        <w:kinsoku/>
        <w:wordWrap/>
        <w:overflowPunct/>
        <w:topLinePunct w:val="0"/>
        <w:autoSpaceDE/>
        <w:autoSpaceDN/>
        <w:bidi w:val="0"/>
        <w:adjustRightInd/>
        <w:snapToGrid/>
        <w:spacing w:before="0" w:beforeLines="0" w:line="500" w:lineRule="exact"/>
        <w:ind w:left="0" w:leftChars="0" w:right="0" w:rightChars="0"/>
        <w:textAlignment w:val="auto"/>
        <w:outlineLvl w:val="9"/>
        <w:rPr>
          <w:rFonts w:hint="eastAsia" w:ascii="宋体" w:hAnsi="宋体" w:eastAsia="宋体" w:cs="宋体"/>
          <w:b/>
          <w:bCs w:val="0"/>
          <w:sz w:val="18"/>
          <w:szCs w:val="18"/>
        </w:rPr>
      </w:pPr>
      <w:r>
        <w:rPr>
          <w:rFonts w:hint="eastAsia" w:ascii="宋体" w:hAnsi="宋体" w:eastAsia="宋体" w:cs="宋体"/>
          <w:b/>
          <w:bCs w:val="0"/>
          <w:sz w:val="18"/>
          <w:szCs w:val="18"/>
        </w:rPr>
        <w:t>表2  直上河桥桥段路基固结沉降参数</w:t>
      </w:r>
    </w:p>
    <w:p>
      <w:pPr>
        <w:jc w:val="center"/>
        <w:rPr>
          <w:rFonts w:ascii="Times New Roman" w:hAnsi="Times New Roman" w:eastAsia="宋体" w:cs="Times New Roman"/>
          <w:b/>
          <w:bCs/>
          <w:sz w:val="21"/>
          <w:szCs w:val="21"/>
        </w:rPr>
      </w:pPr>
      <w:r>
        <w:rPr>
          <w:rFonts w:ascii="Times New Roman" w:hAnsi="Times New Roman" w:eastAsia="宋体" w:cs="Times New Roman"/>
          <w:b/>
          <w:bCs/>
          <w:sz w:val="18"/>
          <w:szCs w:val="18"/>
        </w:rPr>
        <w:t>Table 2  Consolidation settlement parameters of subgrade of Zhishanghe Bridge</w:t>
      </w:r>
    </w:p>
    <w:tbl>
      <w:tblPr>
        <w:tblStyle w:val="10"/>
        <w:tblW w:w="8920" w:type="dxa"/>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53"/>
        <w:gridCol w:w="1170"/>
        <w:gridCol w:w="993"/>
        <w:gridCol w:w="996"/>
        <w:gridCol w:w="995"/>
        <w:gridCol w:w="568"/>
        <w:gridCol w:w="855"/>
        <w:gridCol w:w="995"/>
        <w:gridCol w:w="995"/>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jc w:val="center"/>
        </w:trPr>
        <w:tc>
          <w:tcPr>
            <w:tcW w:w="1353" w:type="dxa"/>
            <w:vMerge w:val="restart"/>
            <w:tcBorders>
              <w:top w:val="single" w:color="auto" w:sz="12"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土层名称</w:t>
            </w:r>
          </w:p>
        </w:tc>
        <w:tc>
          <w:tcPr>
            <w:tcW w:w="4154" w:type="dxa"/>
            <w:gridSpan w:val="4"/>
            <w:tcBorders>
              <w:top w:val="single" w:color="auto" w:sz="12" w:space="0"/>
              <w:bottom w:val="single" w:color="auto" w:sz="6"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流固耦合参数</w:t>
            </w:r>
          </w:p>
        </w:tc>
        <w:tc>
          <w:tcPr>
            <w:tcW w:w="3413" w:type="dxa"/>
            <w:gridSpan w:val="4"/>
            <w:tcBorders>
              <w:top w:val="single" w:color="auto" w:sz="12" w:space="0"/>
              <w:bottom w:val="single" w:color="auto" w:sz="6"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Burgers模型参数</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1353" w:type="dxa"/>
            <w:vMerge w:val="continue"/>
            <w:tcBorders>
              <w:bottom w:val="single" w:color="auto" w:sz="4" w:space="0"/>
            </w:tcBorders>
            <w:vAlign w:val="center"/>
          </w:tcPr>
          <w:p>
            <w:pPr>
              <w:jc w:val="center"/>
              <w:rPr>
                <w:rFonts w:ascii="Times New Roman" w:hAnsi="Times New Roman" w:eastAsia="宋体" w:cs="Times New Roman"/>
                <w:sz w:val="18"/>
                <w:szCs w:val="18"/>
              </w:rPr>
            </w:pPr>
          </w:p>
        </w:tc>
        <w:tc>
          <w:tcPr>
            <w:tcW w:w="1170" w:type="dxa"/>
            <w:tcBorders>
              <w:top w:val="single" w:color="auto" w:sz="6" w:space="0"/>
              <w:bottom w:val="single" w:color="auto" w:sz="4" w:space="0"/>
            </w:tcBorders>
            <w:vAlign w:val="center"/>
          </w:tcPr>
          <w:p>
            <w:pPr>
              <w:jc w:val="center"/>
              <w:rPr>
                <w:rFonts w:ascii="Times New Roman" w:hAnsi="Times New Roman" w:eastAsia="宋体" w:cs="Times New Roman"/>
                <w:i/>
                <w:sz w:val="18"/>
                <w:szCs w:val="18"/>
              </w:rPr>
            </w:pPr>
            <w:r>
              <w:rPr>
                <w:rFonts w:ascii="Times New Roman" w:hAnsi="Times New Roman" w:eastAsia="宋体" w:cs="Times New Roman"/>
                <w:sz w:val="18"/>
                <w:szCs w:val="18"/>
              </w:rPr>
              <w:t>渗透系数</w:t>
            </w:r>
            <w:r>
              <w:rPr>
                <w:rFonts w:ascii="Times New Roman" w:hAnsi="Times New Roman" w:eastAsia="宋体" w:cs="Times New Roman"/>
                <w:i/>
                <w:sz w:val="18"/>
                <w:szCs w:val="18"/>
              </w:rPr>
              <w:t>k</w:t>
            </w:r>
          </w:p>
          <w:p>
            <w:pPr>
              <w:jc w:val="center"/>
              <w:rPr>
                <w:rFonts w:ascii="Times New Roman" w:hAnsi="Times New Roman" w:eastAsia="宋体" w:cs="Times New Roman"/>
                <w:sz w:val="18"/>
                <w:szCs w:val="18"/>
              </w:rPr>
            </w:pPr>
            <w:r>
              <w:rPr>
                <w:rFonts w:hint="eastAsia" w:ascii="Times New Roman" w:hAnsi="Times New Roman" w:eastAsia="宋体" w:cs="Times New Roman"/>
                <w:i w:val="0"/>
                <w:iCs/>
                <w:sz w:val="18"/>
                <w:szCs w:val="18"/>
                <w:lang w:val="en-US" w:eastAsia="zh-CN"/>
              </w:rPr>
              <w:t>/</w:t>
            </w:r>
            <w:r>
              <w:rPr>
                <w:rFonts w:ascii="Times New Roman" w:hAnsi="Times New Roman" w:eastAsia="宋体" w:cs="Times New Roman"/>
                <w:sz w:val="18"/>
                <w:szCs w:val="18"/>
              </w:rPr>
              <w:t>（cm</w:t>
            </w:r>
            <w:r>
              <w:rPr>
                <w:rFonts w:hint="eastAsia" w:ascii="Times New Roman" w:hAnsi="Times New Roman" w:eastAsia="宋体" w:cs="Times New Roman"/>
                <w:sz w:val="18"/>
                <w:szCs w:val="18"/>
                <w:lang w:val="en-US" w:eastAsia="zh-CN"/>
              </w:rPr>
              <w:t>·</w:t>
            </w:r>
            <w:r>
              <w:rPr>
                <w:rFonts w:ascii="Times New Roman" w:hAnsi="Times New Roman" w:eastAsia="宋体" w:cs="Times New Roman"/>
                <w:sz w:val="18"/>
                <w:szCs w:val="18"/>
              </w:rPr>
              <w:t>s</w:t>
            </w:r>
            <w:r>
              <w:rPr>
                <w:rFonts w:hint="eastAsia" w:ascii="Times New Roman" w:hAnsi="Times New Roman" w:eastAsia="宋体" w:cs="Times New Roman"/>
                <w:sz w:val="18"/>
                <w:szCs w:val="18"/>
                <w:vertAlign w:val="superscript"/>
                <w:lang w:val="en-US" w:eastAsia="zh-CN"/>
              </w:rPr>
              <w:t>-1</w:t>
            </w:r>
            <w:r>
              <w:rPr>
                <w:rFonts w:ascii="Times New Roman" w:hAnsi="Times New Roman" w:eastAsia="宋体" w:cs="Times New Roman"/>
                <w:sz w:val="18"/>
                <w:szCs w:val="18"/>
              </w:rPr>
              <w:t>）</w:t>
            </w:r>
          </w:p>
        </w:tc>
        <w:tc>
          <w:tcPr>
            <w:tcW w:w="993" w:type="dxa"/>
            <w:tcBorders>
              <w:top w:val="single" w:color="auto" w:sz="6" w:space="0"/>
              <w:bottom w:val="single" w:color="auto" w:sz="4" w:space="0"/>
            </w:tcBorders>
            <w:vAlign w:val="center"/>
          </w:tcPr>
          <w:p>
            <w:pPr>
              <w:rPr>
                <w:rFonts w:ascii="Times New Roman" w:hAnsi="Times New Roman" w:eastAsia="宋体" w:cs="Times New Roman"/>
                <w:sz w:val="18"/>
                <w:szCs w:val="18"/>
              </w:rPr>
            </w:pPr>
            <w:r>
              <w:rPr>
                <w:rFonts w:ascii="Times New Roman" w:hAnsi="Times New Roman" w:eastAsia="宋体" w:cs="Times New Roman"/>
                <w:sz w:val="18"/>
                <w:szCs w:val="18"/>
              </w:rPr>
              <w:t xml:space="preserve">流体模量 </w:t>
            </w:r>
            <w:r>
              <w:rPr>
                <w:rFonts w:ascii="Times New Roman" w:hAnsi="Times New Roman" w:eastAsia="宋体" w:cs="Times New Roman"/>
                <w:i/>
                <w:iCs/>
                <w:sz w:val="18"/>
                <w:szCs w:val="18"/>
              </w:rPr>
              <w:t>K</w:t>
            </w:r>
            <w:r>
              <w:rPr>
                <w:rFonts w:ascii="Times New Roman" w:hAnsi="Times New Roman" w:eastAsia="宋体" w:cs="Times New Roman"/>
                <w:i/>
                <w:iCs/>
                <w:sz w:val="18"/>
                <w:szCs w:val="18"/>
                <w:vertAlign w:val="subscript"/>
              </w:rPr>
              <w:t>f</w:t>
            </w:r>
            <w:r>
              <w:rPr>
                <w:rFonts w:ascii="Times New Roman" w:hAnsi="Times New Roman" w:eastAsia="宋体" w:cs="Times New Roman"/>
                <w:sz w:val="18"/>
                <w:szCs w:val="18"/>
              </w:rPr>
              <w:t xml:space="preserve">/Pa </w:t>
            </w:r>
          </w:p>
        </w:tc>
        <w:tc>
          <w:tcPr>
            <w:tcW w:w="996" w:type="dxa"/>
            <w:tcBorders>
              <w:top w:val="single" w:color="auto" w:sz="6" w:space="0"/>
              <w:bottom w:val="single" w:color="auto" w:sz="4" w:space="0"/>
            </w:tcBorders>
            <w:vAlign w:val="center"/>
          </w:tcPr>
          <w:p>
            <w:pPr>
              <w:rPr>
                <w:rFonts w:ascii="Times New Roman" w:hAnsi="Times New Roman" w:eastAsia="宋体" w:cs="Times New Roman"/>
                <w:sz w:val="18"/>
                <w:szCs w:val="18"/>
              </w:rPr>
            </w:pPr>
            <w:r>
              <w:rPr>
                <w:rFonts w:ascii="Times New Roman" w:hAnsi="Times New Roman" w:eastAsia="宋体" w:cs="Times New Roman"/>
                <w:sz w:val="18"/>
                <w:szCs w:val="18"/>
              </w:rPr>
              <w:t>流体密度</w:t>
            </w:r>
            <w:r>
              <w:rPr>
                <w:rFonts w:hint="eastAsia" w:ascii="Times New Roman" w:hAnsi="Times New Roman" w:eastAsia="宋体" w:cs="Times New Roman"/>
                <w:sz w:val="18"/>
                <w:szCs w:val="18"/>
                <w:lang w:val="en-US" w:eastAsia="zh-CN"/>
              </w:rPr>
              <w:t>/</w:t>
            </w:r>
            <w:r>
              <w:rPr>
                <w:rFonts w:hint="eastAsia" w:ascii="Times New Roman" w:hAnsi="Times New Roman" w:eastAsia="宋体" w:cs="Times New Roman"/>
                <w:sz w:val="18"/>
                <w:szCs w:val="18"/>
                <w:lang w:eastAsia="zh-CN"/>
              </w:rPr>
              <w:t>（</w:t>
            </w:r>
            <w:r>
              <w:rPr>
                <w:rFonts w:hint="eastAsia" w:ascii="Times New Roman" w:hAnsi="Times New Roman" w:eastAsia="宋体" w:cs="Times New Roman"/>
                <w:sz w:val="18"/>
                <w:szCs w:val="18"/>
                <w:lang w:val="en-US" w:eastAsia="zh-CN"/>
              </w:rPr>
              <w:t>k</w:t>
            </w:r>
            <w:r>
              <w:rPr>
                <w:rFonts w:ascii="Times New Roman" w:hAnsi="Times New Roman" w:eastAsia="宋体" w:cs="Times New Roman"/>
                <w:sz w:val="18"/>
                <w:szCs w:val="18"/>
              </w:rPr>
              <w:t>g</w:t>
            </w:r>
            <w:r>
              <w:rPr>
                <w:rFonts w:hint="eastAsia" w:ascii="Times New Roman" w:hAnsi="Times New Roman" w:eastAsia="宋体" w:cs="Times New Roman"/>
                <w:sz w:val="18"/>
                <w:szCs w:val="18"/>
                <w:lang w:val="en-US" w:eastAsia="zh-CN"/>
              </w:rPr>
              <w:t>·</w:t>
            </w:r>
            <w:r>
              <w:rPr>
                <w:rFonts w:ascii="Times New Roman" w:hAnsi="Times New Roman" w:eastAsia="宋体" w:cs="Times New Roman"/>
                <w:sz w:val="18"/>
                <w:szCs w:val="18"/>
              </w:rPr>
              <w:t>m</w:t>
            </w:r>
            <w:r>
              <w:rPr>
                <w:rFonts w:hint="eastAsia" w:ascii="Times New Roman" w:hAnsi="Times New Roman" w:eastAsia="宋体" w:cs="Times New Roman"/>
                <w:sz w:val="18"/>
                <w:szCs w:val="18"/>
                <w:vertAlign w:val="superscript"/>
                <w:lang w:val="en-US" w:eastAsia="zh-CN"/>
              </w:rPr>
              <w:t>-</w:t>
            </w:r>
            <w:r>
              <w:rPr>
                <w:rFonts w:ascii="Times New Roman" w:hAnsi="Times New Roman" w:eastAsia="宋体" w:cs="Times New Roman"/>
                <w:sz w:val="18"/>
                <w:szCs w:val="18"/>
                <w:vertAlign w:val="superscript"/>
              </w:rPr>
              <w:t>3</w:t>
            </w:r>
            <w:r>
              <w:rPr>
                <w:rFonts w:hint="eastAsia" w:ascii="Times New Roman" w:hAnsi="Times New Roman" w:eastAsia="宋体" w:cs="Times New Roman"/>
                <w:sz w:val="18"/>
                <w:szCs w:val="18"/>
                <w:lang w:eastAsia="zh-CN"/>
              </w:rPr>
              <w:t>）</w:t>
            </w:r>
          </w:p>
        </w:tc>
        <w:tc>
          <w:tcPr>
            <w:tcW w:w="995" w:type="dxa"/>
            <w:tcBorders>
              <w:top w:val="single" w:color="auto" w:sz="6" w:space="0"/>
              <w:bottom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比奥模量</w:t>
            </w:r>
            <w:r>
              <w:rPr>
                <w:rFonts w:ascii="Times New Roman" w:hAnsi="Times New Roman" w:eastAsia="宋体" w:cs="Times New Roman"/>
                <w:i/>
                <w:iCs/>
                <w:sz w:val="18"/>
                <w:szCs w:val="18"/>
              </w:rPr>
              <w:t>K</w:t>
            </w:r>
            <w:r>
              <w:rPr>
                <w:rFonts w:ascii="Times New Roman" w:hAnsi="Times New Roman" w:eastAsia="宋体" w:cs="Times New Roman"/>
                <w:sz w:val="18"/>
                <w:szCs w:val="18"/>
              </w:rPr>
              <w:t>/Pa</w:t>
            </w:r>
          </w:p>
        </w:tc>
        <w:tc>
          <w:tcPr>
            <w:tcW w:w="568" w:type="dxa"/>
            <w:tcBorders>
              <w:top w:val="single" w:color="auto" w:sz="6" w:space="0"/>
              <w:bottom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i/>
                <w:iCs/>
                <w:sz w:val="18"/>
                <w:szCs w:val="18"/>
              </w:rPr>
              <w:t>E</w:t>
            </w:r>
            <w:r>
              <w:rPr>
                <w:rFonts w:ascii="Times New Roman" w:hAnsi="Times New Roman" w:eastAsia="宋体" w:cs="Times New Roman"/>
                <w:i/>
                <w:iCs/>
                <w:sz w:val="18"/>
                <w:szCs w:val="18"/>
                <w:vertAlign w:val="subscript"/>
              </w:rPr>
              <w:t>m</w:t>
            </w:r>
            <w:r>
              <w:rPr>
                <w:rFonts w:ascii="Times New Roman" w:hAnsi="Times New Roman" w:eastAsia="宋体" w:cs="Times New Roman"/>
                <w:sz w:val="18"/>
                <w:szCs w:val="18"/>
              </w:rPr>
              <w:t>/MPa</w:t>
            </w:r>
          </w:p>
        </w:tc>
        <w:tc>
          <w:tcPr>
            <w:tcW w:w="855" w:type="dxa"/>
            <w:tcBorders>
              <w:top w:val="single" w:color="auto" w:sz="6" w:space="0"/>
              <w:bottom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i/>
                <w:iCs/>
                <w:sz w:val="18"/>
                <w:szCs w:val="18"/>
              </w:rPr>
              <w:t>E</w:t>
            </w:r>
            <w:r>
              <w:rPr>
                <w:rFonts w:ascii="Times New Roman" w:hAnsi="Times New Roman" w:eastAsia="宋体" w:cs="Times New Roman"/>
                <w:i/>
                <w:iCs/>
                <w:sz w:val="18"/>
                <w:szCs w:val="18"/>
                <w:vertAlign w:val="subscript"/>
              </w:rPr>
              <w:t>k</w:t>
            </w:r>
            <w:r>
              <w:rPr>
                <w:rFonts w:ascii="Times New Roman" w:hAnsi="Times New Roman" w:eastAsia="宋体" w:cs="Times New Roman"/>
                <w:sz w:val="18"/>
                <w:szCs w:val="18"/>
              </w:rPr>
              <w:t>/MPa</w:t>
            </w:r>
          </w:p>
        </w:tc>
        <w:tc>
          <w:tcPr>
            <w:tcW w:w="995" w:type="dxa"/>
            <w:tcBorders>
              <w:top w:val="single" w:color="auto" w:sz="6" w:space="0"/>
              <w:bottom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i/>
                <w:iCs/>
                <w:sz w:val="18"/>
                <w:szCs w:val="18"/>
              </w:rPr>
              <w:t>η</w:t>
            </w:r>
            <w:r>
              <w:rPr>
                <w:rFonts w:ascii="Times New Roman" w:hAnsi="Times New Roman" w:eastAsia="宋体" w:cs="Times New Roman"/>
                <w:i/>
                <w:iCs/>
                <w:sz w:val="18"/>
                <w:szCs w:val="18"/>
                <w:vertAlign w:val="subscript"/>
              </w:rPr>
              <w:t>m</w:t>
            </w:r>
            <w:r>
              <w:rPr>
                <w:rFonts w:ascii="Times New Roman" w:hAnsi="Times New Roman" w:eastAsia="宋体" w:cs="Times New Roman"/>
                <w:sz w:val="18"/>
                <w:szCs w:val="18"/>
              </w:rPr>
              <w:t>/ MPa·d</w:t>
            </w:r>
          </w:p>
        </w:tc>
        <w:tc>
          <w:tcPr>
            <w:tcW w:w="995" w:type="dxa"/>
            <w:tcBorders>
              <w:top w:val="single" w:color="auto" w:sz="6" w:space="0"/>
              <w:bottom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i/>
                <w:iCs/>
                <w:sz w:val="18"/>
                <w:szCs w:val="18"/>
              </w:rPr>
              <w:t>η</w:t>
            </w:r>
            <w:r>
              <w:rPr>
                <w:rFonts w:ascii="Times New Roman" w:hAnsi="Times New Roman" w:eastAsia="宋体" w:cs="Times New Roman"/>
                <w:i/>
                <w:iCs/>
                <w:sz w:val="18"/>
                <w:szCs w:val="18"/>
                <w:vertAlign w:val="subscript"/>
              </w:rPr>
              <w:t>k</w:t>
            </w:r>
            <w:r>
              <w:rPr>
                <w:rFonts w:ascii="Times New Roman" w:hAnsi="Times New Roman" w:eastAsia="宋体" w:cs="Times New Roman"/>
                <w:sz w:val="18"/>
                <w:szCs w:val="18"/>
              </w:rPr>
              <w:t>/MPa·d</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353" w:type="dxa"/>
            <w:tcBorders>
              <w:top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黏土</w:t>
            </w:r>
          </w:p>
        </w:tc>
        <w:tc>
          <w:tcPr>
            <w:tcW w:w="1170" w:type="dxa"/>
            <w:tcBorders>
              <w:top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5.3×10</w:t>
            </w:r>
            <w:r>
              <w:rPr>
                <w:rFonts w:ascii="Times New Roman" w:hAnsi="Times New Roman" w:eastAsia="宋体" w:cs="Times New Roman"/>
                <w:sz w:val="18"/>
                <w:szCs w:val="18"/>
                <w:vertAlign w:val="superscript"/>
              </w:rPr>
              <w:t>-8</w:t>
            </w:r>
          </w:p>
        </w:tc>
        <w:tc>
          <w:tcPr>
            <w:tcW w:w="993" w:type="dxa"/>
            <w:vMerge w:val="restart"/>
            <w:tcBorders>
              <w:top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2.0×10</w:t>
            </w:r>
            <w:r>
              <w:rPr>
                <w:rFonts w:ascii="Times New Roman" w:hAnsi="Times New Roman" w:eastAsia="宋体" w:cs="Times New Roman"/>
                <w:sz w:val="18"/>
                <w:szCs w:val="18"/>
                <w:vertAlign w:val="superscript"/>
              </w:rPr>
              <w:t>9</w:t>
            </w:r>
          </w:p>
        </w:tc>
        <w:tc>
          <w:tcPr>
            <w:tcW w:w="996" w:type="dxa"/>
            <w:vMerge w:val="restart"/>
            <w:tcBorders>
              <w:top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1000</w:t>
            </w:r>
          </w:p>
        </w:tc>
        <w:tc>
          <w:tcPr>
            <w:tcW w:w="995" w:type="dxa"/>
            <w:vMerge w:val="restart"/>
            <w:tcBorders>
              <w:top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4.0×10</w:t>
            </w:r>
            <w:r>
              <w:rPr>
                <w:rFonts w:ascii="Times New Roman" w:hAnsi="Times New Roman" w:eastAsia="宋体" w:cs="Times New Roman"/>
                <w:sz w:val="18"/>
                <w:szCs w:val="18"/>
                <w:vertAlign w:val="superscript"/>
              </w:rPr>
              <w:t>9</w:t>
            </w:r>
          </w:p>
        </w:tc>
        <w:tc>
          <w:tcPr>
            <w:tcW w:w="568" w:type="dxa"/>
            <w:tcBorders>
              <w:top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15.1</w:t>
            </w:r>
          </w:p>
        </w:tc>
        <w:tc>
          <w:tcPr>
            <w:tcW w:w="855" w:type="dxa"/>
            <w:tcBorders>
              <w:top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18.0</w:t>
            </w:r>
          </w:p>
        </w:tc>
        <w:tc>
          <w:tcPr>
            <w:tcW w:w="995" w:type="dxa"/>
            <w:tcBorders>
              <w:top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1780</w:t>
            </w:r>
          </w:p>
        </w:tc>
        <w:tc>
          <w:tcPr>
            <w:tcW w:w="995" w:type="dxa"/>
            <w:tcBorders>
              <w:top w:val="single" w:color="auto" w:sz="4" w:space="0"/>
            </w:tcBorders>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5.1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jc w:val="center"/>
        </w:trPr>
        <w:tc>
          <w:tcPr>
            <w:tcW w:w="1353"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淤泥Ⅰ</w:t>
            </w:r>
          </w:p>
        </w:tc>
        <w:tc>
          <w:tcPr>
            <w:tcW w:w="1170"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1.2×10</w:t>
            </w:r>
            <w:r>
              <w:rPr>
                <w:rFonts w:ascii="Times New Roman" w:hAnsi="Times New Roman" w:eastAsia="宋体" w:cs="Times New Roman"/>
                <w:sz w:val="18"/>
                <w:szCs w:val="18"/>
                <w:vertAlign w:val="superscript"/>
              </w:rPr>
              <w:t>-7</w:t>
            </w:r>
          </w:p>
        </w:tc>
        <w:tc>
          <w:tcPr>
            <w:tcW w:w="993" w:type="dxa"/>
            <w:vMerge w:val="continue"/>
            <w:vAlign w:val="center"/>
          </w:tcPr>
          <w:p>
            <w:pPr>
              <w:widowControl/>
              <w:jc w:val="left"/>
              <w:rPr>
                <w:rFonts w:ascii="Times New Roman" w:hAnsi="Times New Roman" w:eastAsia="宋体" w:cs="Times New Roman"/>
                <w:sz w:val="18"/>
                <w:szCs w:val="18"/>
              </w:rPr>
            </w:pPr>
          </w:p>
        </w:tc>
        <w:tc>
          <w:tcPr>
            <w:tcW w:w="996" w:type="dxa"/>
            <w:vMerge w:val="continue"/>
            <w:vAlign w:val="center"/>
          </w:tcPr>
          <w:p>
            <w:pPr>
              <w:widowControl/>
              <w:jc w:val="left"/>
              <w:rPr>
                <w:rFonts w:ascii="Times New Roman" w:hAnsi="Times New Roman" w:eastAsia="宋体" w:cs="Times New Roman"/>
                <w:sz w:val="18"/>
                <w:szCs w:val="18"/>
              </w:rPr>
            </w:pPr>
          </w:p>
        </w:tc>
        <w:tc>
          <w:tcPr>
            <w:tcW w:w="995" w:type="dxa"/>
            <w:vMerge w:val="continue"/>
            <w:vAlign w:val="center"/>
          </w:tcPr>
          <w:p>
            <w:pPr>
              <w:widowControl/>
              <w:jc w:val="left"/>
              <w:rPr>
                <w:rFonts w:ascii="Times New Roman" w:hAnsi="Times New Roman" w:eastAsia="宋体" w:cs="Times New Roman"/>
                <w:sz w:val="18"/>
                <w:szCs w:val="18"/>
              </w:rPr>
            </w:pPr>
          </w:p>
        </w:tc>
        <w:tc>
          <w:tcPr>
            <w:tcW w:w="568"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6.7</w:t>
            </w:r>
          </w:p>
        </w:tc>
        <w:tc>
          <w:tcPr>
            <w:tcW w:w="85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5.7</w:t>
            </w:r>
          </w:p>
        </w:tc>
        <w:tc>
          <w:tcPr>
            <w:tcW w:w="99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995</w:t>
            </w:r>
          </w:p>
        </w:tc>
        <w:tc>
          <w:tcPr>
            <w:tcW w:w="99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2.8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jc w:val="center"/>
        </w:trPr>
        <w:tc>
          <w:tcPr>
            <w:tcW w:w="1353"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淤泥Ⅱ</w:t>
            </w:r>
          </w:p>
        </w:tc>
        <w:tc>
          <w:tcPr>
            <w:tcW w:w="1170"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1.1×10</w:t>
            </w:r>
            <w:r>
              <w:rPr>
                <w:rFonts w:ascii="Times New Roman" w:hAnsi="Times New Roman" w:eastAsia="宋体" w:cs="Times New Roman"/>
                <w:sz w:val="18"/>
                <w:szCs w:val="18"/>
                <w:vertAlign w:val="superscript"/>
              </w:rPr>
              <w:t>-7</w:t>
            </w:r>
          </w:p>
        </w:tc>
        <w:tc>
          <w:tcPr>
            <w:tcW w:w="993" w:type="dxa"/>
            <w:vMerge w:val="continue"/>
            <w:vAlign w:val="center"/>
          </w:tcPr>
          <w:p>
            <w:pPr>
              <w:widowControl/>
              <w:jc w:val="left"/>
              <w:rPr>
                <w:rFonts w:ascii="Times New Roman" w:hAnsi="Times New Roman" w:eastAsia="宋体" w:cs="Times New Roman"/>
                <w:sz w:val="18"/>
                <w:szCs w:val="18"/>
              </w:rPr>
            </w:pPr>
          </w:p>
        </w:tc>
        <w:tc>
          <w:tcPr>
            <w:tcW w:w="996" w:type="dxa"/>
            <w:vMerge w:val="continue"/>
            <w:vAlign w:val="center"/>
          </w:tcPr>
          <w:p>
            <w:pPr>
              <w:widowControl/>
              <w:jc w:val="left"/>
              <w:rPr>
                <w:rFonts w:ascii="Times New Roman" w:hAnsi="Times New Roman" w:eastAsia="宋体" w:cs="Times New Roman"/>
                <w:sz w:val="18"/>
                <w:szCs w:val="18"/>
              </w:rPr>
            </w:pPr>
          </w:p>
        </w:tc>
        <w:tc>
          <w:tcPr>
            <w:tcW w:w="995" w:type="dxa"/>
            <w:vMerge w:val="continue"/>
            <w:vAlign w:val="center"/>
          </w:tcPr>
          <w:p>
            <w:pPr>
              <w:widowControl/>
              <w:jc w:val="left"/>
              <w:rPr>
                <w:rFonts w:ascii="Times New Roman" w:hAnsi="Times New Roman" w:eastAsia="宋体" w:cs="Times New Roman"/>
                <w:sz w:val="18"/>
                <w:szCs w:val="18"/>
              </w:rPr>
            </w:pPr>
          </w:p>
        </w:tc>
        <w:tc>
          <w:tcPr>
            <w:tcW w:w="568"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7.0</w:t>
            </w:r>
          </w:p>
        </w:tc>
        <w:tc>
          <w:tcPr>
            <w:tcW w:w="85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6.5</w:t>
            </w:r>
          </w:p>
        </w:tc>
        <w:tc>
          <w:tcPr>
            <w:tcW w:w="99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1068</w:t>
            </w:r>
          </w:p>
        </w:tc>
        <w:tc>
          <w:tcPr>
            <w:tcW w:w="99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2.9</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1353"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淤泥质黏土Ⅰ</w:t>
            </w:r>
          </w:p>
        </w:tc>
        <w:tc>
          <w:tcPr>
            <w:tcW w:w="1170"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5.3×10</w:t>
            </w:r>
            <w:r>
              <w:rPr>
                <w:rFonts w:ascii="Times New Roman" w:hAnsi="Times New Roman" w:eastAsia="宋体" w:cs="Times New Roman"/>
                <w:sz w:val="18"/>
                <w:szCs w:val="18"/>
                <w:vertAlign w:val="superscript"/>
              </w:rPr>
              <w:t>-7</w:t>
            </w:r>
          </w:p>
        </w:tc>
        <w:tc>
          <w:tcPr>
            <w:tcW w:w="993" w:type="dxa"/>
            <w:vMerge w:val="continue"/>
            <w:vAlign w:val="center"/>
          </w:tcPr>
          <w:p>
            <w:pPr>
              <w:widowControl/>
              <w:jc w:val="left"/>
              <w:rPr>
                <w:rFonts w:ascii="Times New Roman" w:hAnsi="Times New Roman" w:eastAsia="宋体" w:cs="Times New Roman"/>
                <w:sz w:val="18"/>
                <w:szCs w:val="18"/>
              </w:rPr>
            </w:pPr>
          </w:p>
        </w:tc>
        <w:tc>
          <w:tcPr>
            <w:tcW w:w="996" w:type="dxa"/>
            <w:vMerge w:val="continue"/>
            <w:vAlign w:val="center"/>
          </w:tcPr>
          <w:p>
            <w:pPr>
              <w:widowControl/>
              <w:jc w:val="left"/>
              <w:rPr>
                <w:rFonts w:ascii="Times New Roman" w:hAnsi="Times New Roman" w:eastAsia="宋体" w:cs="Times New Roman"/>
                <w:sz w:val="18"/>
                <w:szCs w:val="18"/>
              </w:rPr>
            </w:pPr>
          </w:p>
        </w:tc>
        <w:tc>
          <w:tcPr>
            <w:tcW w:w="995" w:type="dxa"/>
            <w:vMerge w:val="continue"/>
            <w:vAlign w:val="center"/>
          </w:tcPr>
          <w:p>
            <w:pPr>
              <w:widowControl/>
              <w:jc w:val="left"/>
              <w:rPr>
                <w:rFonts w:ascii="Times New Roman" w:hAnsi="Times New Roman" w:eastAsia="宋体" w:cs="Times New Roman"/>
                <w:sz w:val="18"/>
                <w:szCs w:val="18"/>
              </w:rPr>
            </w:pPr>
          </w:p>
        </w:tc>
        <w:tc>
          <w:tcPr>
            <w:tcW w:w="568"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10.0</w:t>
            </w:r>
          </w:p>
        </w:tc>
        <w:tc>
          <w:tcPr>
            <w:tcW w:w="85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8.5</w:t>
            </w:r>
          </w:p>
        </w:tc>
        <w:tc>
          <w:tcPr>
            <w:tcW w:w="99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1286</w:t>
            </w:r>
          </w:p>
        </w:tc>
        <w:tc>
          <w:tcPr>
            <w:tcW w:w="99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3.3</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1353"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淤泥质黏土Ⅱ</w:t>
            </w:r>
          </w:p>
        </w:tc>
        <w:tc>
          <w:tcPr>
            <w:tcW w:w="1170"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5.3×10</w:t>
            </w:r>
            <w:r>
              <w:rPr>
                <w:rFonts w:ascii="Times New Roman" w:hAnsi="Times New Roman" w:eastAsia="宋体" w:cs="Times New Roman"/>
                <w:sz w:val="18"/>
                <w:szCs w:val="18"/>
                <w:vertAlign w:val="superscript"/>
              </w:rPr>
              <w:t>-7</w:t>
            </w:r>
          </w:p>
        </w:tc>
        <w:tc>
          <w:tcPr>
            <w:tcW w:w="993" w:type="dxa"/>
            <w:vMerge w:val="continue"/>
            <w:vAlign w:val="center"/>
          </w:tcPr>
          <w:p>
            <w:pPr>
              <w:widowControl/>
              <w:jc w:val="left"/>
              <w:rPr>
                <w:rFonts w:ascii="Times New Roman" w:hAnsi="Times New Roman" w:eastAsia="宋体" w:cs="Times New Roman"/>
                <w:sz w:val="18"/>
                <w:szCs w:val="18"/>
              </w:rPr>
            </w:pPr>
          </w:p>
        </w:tc>
        <w:tc>
          <w:tcPr>
            <w:tcW w:w="996" w:type="dxa"/>
            <w:vMerge w:val="continue"/>
            <w:vAlign w:val="center"/>
          </w:tcPr>
          <w:p>
            <w:pPr>
              <w:widowControl/>
              <w:jc w:val="left"/>
              <w:rPr>
                <w:rFonts w:ascii="Times New Roman" w:hAnsi="Times New Roman" w:eastAsia="宋体" w:cs="Times New Roman"/>
                <w:sz w:val="18"/>
                <w:szCs w:val="18"/>
              </w:rPr>
            </w:pPr>
          </w:p>
        </w:tc>
        <w:tc>
          <w:tcPr>
            <w:tcW w:w="995" w:type="dxa"/>
            <w:vMerge w:val="continue"/>
            <w:vAlign w:val="center"/>
          </w:tcPr>
          <w:p>
            <w:pPr>
              <w:widowControl/>
              <w:jc w:val="left"/>
              <w:rPr>
                <w:rFonts w:ascii="Times New Roman" w:hAnsi="Times New Roman" w:eastAsia="宋体" w:cs="Times New Roman"/>
                <w:sz w:val="18"/>
                <w:szCs w:val="18"/>
              </w:rPr>
            </w:pPr>
          </w:p>
        </w:tc>
        <w:tc>
          <w:tcPr>
            <w:tcW w:w="568"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10.2</w:t>
            </w:r>
          </w:p>
        </w:tc>
        <w:tc>
          <w:tcPr>
            <w:tcW w:w="85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8.9</w:t>
            </w:r>
          </w:p>
        </w:tc>
        <w:tc>
          <w:tcPr>
            <w:tcW w:w="99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1326</w:t>
            </w:r>
          </w:p>
        </w:tc>
        <w:tc>
          <w:tcPr>
            <w:tcW w:w="995" w:type="dxa"/>
            <w:vAlign w:val="center"/>
          </w:tcPr>
          <w:p>
            <w:pPr>
              <w:jc w:val="center"/>
              <w:rPr>
                <w:rFonts w:ascii="Times New Roman" w:hAnsi="Times New Roman" w:eastAsia="宋体" w:cs="Times New Roman"/>
                <w:sz w:val="18"/>
                <w:szCs w:val="18"/>
              </w:rPr>
            </w:pPr>
            <w:r>
              <w:rPr>
                <w:rFonts w:ascii="Times New Roman" w:hAnsi="Times New Roman" w:eastAsia="宋体" w:cs="Times New Roman"/>
                <w:sz w:val="18"/>
                <w:szCs w:val="18"/>
              </w:rPr>
              <w:t>3.6</w:t>
            </w:r>
          </w:p>
        </w:tc>
      </w:tr>
    </w:tbl>
    <w:p>
      <w:pPr>
        <w:ind w:firstLine="420" w:firstLineChars="200"/>
        <w:rPr>
          <w:rFonts w:ascii="Times New Roman" w:hAnsi="Times New Roman" w:eastAsia="宋体" w:cs="Times New Roman"/>
          <w:szCs w:val="21"/>
        </w:rPr>
        <w:sectPr>
          <w:type w:val="continuous"/>
          <w:pgSz w:w="11906" w:h="16838"/>
          <w:pgMar w:top="1440" w:right="1080" w:bottom="1440" w:left="1080" w:header="851" w:footer="992" w:gutter="0"/>
          <w:cols w:space="720" w:num="1"/>
          <w:docGrid w:type="lines" w:linePitch="312" w:charSpace="0"/>
        </w:sectPr>
      </w:pPr>
      <w:r>
        <w:rPr>
          <w:rFonts w:ascii="Times New Roman" w:hAnsi="Times New Roman" w:eastAsia="宋体" w:cs="Times New Roman"/>
          <w:szCs w:val="21"/>
        </w:rPr>
        <w:t xml:space="preserve"> </w:t>
      </w:r>
    </w:p>
    <w:p>
      <w:pPr>
        <w:jc w:val="center"/>
        <w:rPr>
          <w:rFonts w:ascii="Times New Roman" w:hAnsi="Times New Roman" w:eastAsia="宋体" w:cs="Times New Roman"/>
          <w:szCs w:val="21"/>
        </w:rPr>
      </w:pPr>
      <w:r>
        <w:rPr>
          <w:rFonts w:ascii="Times New Roman" w:hAnsi="Times New Roman" w:eastAsia="宋体" w:cs="Times New Roman"/>
          <w:szCs w:val="21"/>
        </w:rPr>
        <w:object>
          <v:shape id="_x0000_i1026" o:spt="75" type="#_x0000_t75" style="height:153.75pt;width:199.5pt;" o:ole="t" filled="f" o:preferrelative="t" stroked="f" coordsize="21600,21600">
            <v:path/>
            <v:fill on="f" focussize="0,0"/>
            <v:stroke on="f" joinstyle="miter"/>
            <v:imagedata r:id="rId13" cropleft="11508f" croptop="2409f" cropright="7927f" cropbottom="4462f" o:title=""/>
            <o:lock v:ext="edit" aspectratio="t"/>
            <w10:wrap type="none"/>
            <w10:anchorlock/>
          </v:shape>
          <o:OLEObject Type="Embed" ProgID="PowerPoint.Show.12" ShapeID="_x0000_i1026" DrawAspect="Content" ObjectID="_1468075726" r:id="rId12">
            <o:LockedField>false</o:LockedField>
          </o:OLEObject>
        </w:object>
      </w:r>
    </w:p>
    <w:p>
      <w:pPr>
        <w:pStyle w:val="18"/>
        <w:ind w:firstLine="360"/>
        <w:jc w:val="center"/>
        <w:rPr>
          <w:rFonts w:ascii="Times New Roman" w:hAnsi="Times New Roman" w:eastAsia="宋体" w:cs="Times New Roman"/>
          <w:sz w:val="18"/>
          <w:szCs w:val="18"/>
        </w:rPr>
      </w:pPr>
      <w:r>
        <w:rPr>
          <w:rFonts w:hint="eastAsia" w:ascii="宋体" w:hAnsi="宋体" w:eastAsia="宋体" w:cs="宋体"/>
          <w:b/>
          <w:bCs/>
          <w:sz w:val="18"/>
          <w:szCs w:val="18"/>
        </w:rPr>
        <w:t>图3  2000-2039年不作处治预测沉降曲线</w:t>
      </w:r>
    </w:p>
    <w:p>
      <w:pPr>
        <w:pStyle w:val="18"/>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18"/>
          <w:szCs w:val="18"/>
        </w:rPr>
        <w:t xml:space="preserve">Fig. 3  Non-treatment predicted settlement curve </w:t>
      </w:r>
      <w:r>
        <w:rPr>
          <w:rFonts w:hint="eastAsia" w:ascii="Times New Roman" w:hAnsi="Times New Roman" w:eastAsia="宋体" w:cs="Times New Roman"/>
          <w:b/>
          <w:bCs/>
          <w:sz w:val="18"/>
          <w:szCs w:val="18"/>
          <w:lang w:val="en-US" w:eastAsia="zh-CN"/>
        </w:rPr>
        <w:t>of</w:t>
      </w:r>
      <w:r>
        <w:rPr>
          <w:rFonts w:ascii="Times New Roman" w:hAnsi="Times New Roman" w:eastAsia="宋体" w:cs="Times New Roman"/>
          <w:b/>
          <w:bCs/>
          <w:sz w:val="18"/>
          <w:szCs w:val="18"/>
        </w:rPr>
        <w:t xml:space="preserve"> 2000-2039</w:t>
      </w:r>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left"/>
        <w:textAlignment w:val="auto"/>
        <w:outlineLvl w:val="9"/>
        <w:rPr>
          <w:rFonts w:hint="eastAsia" w:ascii="宋体" w:hAnsi="宋体" w:eastAsia="宋体" w:cs="宋体"/>
          <w:b/>
          <w:bCs/>
          <w:szCs w:val="21"/>
        </w:rPr>
      </w:pPr>
      <w:r>
        <w:rPr>
          <w:rFonts w:hint="eastAsia" w:ascii="宋体" w:hAnsi="宋体" w:eastAsia="宋体" w:cs="宋体"/>
          <w:b/>
          <w:bCs/>
          <w:szCs w:val="21"/>
        </w:rPr>
        <w:t>2  顶管置换间距的影响规律</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为处治直上河桥段的差异沉降，提出顶管渐变置换方法。通过沿道路方向改变顶管间距使得总体沉降处于可控范围。因此，有必要分析顶管间距对沉降控制的影响。</w:t>
      </w:r>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left"/>
        <w:textAlignment w:val="auto"/>
        <w:outlineLvl w:val="9"/>
        <w:rPr>
          <w:rFonts w:hint="eastAsia" w:ascii="宋体" w:hAnsi="宋体" w:eastAsia="宋体" w:cs="宋体"/>
          <w:b/>
          <w:bCs/>
          <w:szCs w:val="21"/>
        </w:rPr>
      </w:pPr>
      <w:r>
        <w:rPr>
          <w:rFonts w:hint="eastAsia" w:ascii="宋体" w:hAnsi="宋体" w:eastAsia="宋体" w:cs="宋体"/>
          <w:b/>
          <w:bCs/>
          <w:szCs w:val="21"/>
        </w:rPr>
        <w:t>2.1</w:t>
      </w:r>
      <w:r>
        <w:rPr>
          <w:rFonts w:hint="eastAsia" w:ascii="宋体" w:hAnsi="宋体" w:eastAsia="宋体" w:cs="宋体"/>
          <w:b/>
          <w:bCs/>
          <w:szCs w:val="21"/>
          <w:lang w:val="en-US" w:eastAsia="zh-CN"/>
        </w:rPr>
        <w:t xml:space="preserve">  </w:t>
      </w:r>
      <w:r>
        <w:rPr>
          <w:rFonts w:hint="eastAsia" w:ascii="宋体" w:hAnsi="宋体" w:eastAsia="宋体" w:cs="宋体"/>
          <w:b/>
          <w:bCs/>
          <w:szCs w:val="21"/>
        </w:rPr>
        <w:t>顶管置换治数值模型建立</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建立不同间距的顶管数值模型，模型长58m，高55.5m，沿道路方向厚度为10m，如图4所示。顶管尺寸参照非开挖处治协会有关规范</w:t>
      </w:r>
      <w:r>
        <w:rPr>
          <w:rFonts w:hint="eastAsia" w:ascii="宋体" w:hAnsi="宋体" w:eastAsia="宋体" w:cs="宋体"/>
          <w:szCs w:val="21"/>
          <w:vertAlign w:val="superscript"/>
        </w:rPr>
        <w:fldChar w:fldCharType="begin"/>
      </w:r>
      <w:r>
        <w:rPr>
          <w:rFonts w:hint="eastAsia" w:ascii="宋体" w:hAnsi="宋体" w:eastAsia="宋体" w:cs="宋体"/>
          <w:szCs w:val="21"/>
          <w:vertAlign w:val="superscript"/>
        </w:rPr>
        <w:instrText xml:space="preserve"> REF _Ref54276619 \r \h  \* MERGEFORMAT </w:instrText>
      </w:r>
      <w:r>
        <w:rPr>
          <w:rFonts w:hint="eastAsia" w:ascii="宋体" w:hAnsi="宋体" w:eastAsia="宋体" w:cs="宋体"/>
          <w:szCs w:val="21"/>
          <w:vertAlign w:val="superscript"/>
        </w:rPr>
        <w:fldChar w:fldCharType="separate"/>
      </w:r>
      <w:r>
        <w:rPr>
          <w:rFonts w:hint="eastAsia" w:ascii="宋体" w:hAnsi="宋体" w:eastAsia="宋体" w:cs="宋体"/>
          <w:szCs w:val="21"/>
          <w:vertAlign w:val="superscript"/>
        </w:rPr>
        <w:t>[11]</w:t>
      </w:r>
      <w:r>
        <w:rPr>
          <w:rFonts w:hint="eastAsia" w:ascii="宋体" w:hAnsi="宋体" w:eastAsia="宋体" w:cs="宋体"/>
          <w:szCs w:val="21"/>
          <w:vertAlign w:val="superscript"/>
        </w:rPr>
        <w:fldChar w:fldCharType="end"/>
      </w:r>
      <w:r>
        <w:rPr>
          <w:rFonts w:hint="eastAsia" w:ascii="宋体" w:hAnsi="宋体" w:eastAsia="宋体" w:cs="宋体"/>
          <w:szCs w:val="21"/>
        </w:rPr>
        <w:t>取直径为0.6m，厚度为10mm，采用壳单元模拟顶管，壳单元参数取值为：弹性模量</w:t>
      </w:r>
      <w:r>
        <w:rPr>
          <w:rFonts w:hint="eastAsia" w:ascii="宋体" w:hAnsi="宋体" w:eastAsia="宋体" w:cs="宋体"/>
          <w:i/>
          <w:iCs/>
          <w:szCs w:val="21"/>
        </w:rPr>
        <w:t>E</w:t>
      </w:r>
      <w:r>
        <w:rPr>
          <w:rFonts w:hint="eastAsia" w:ascii="宋体" w:hAnsi="宋体" w:eastAsia="宋体" w:cs="宋体"/>
          <w:szCs w:val="21"/>
        </w:rPr>
        <w:t>=206GPa，泊松比</w:t>
      </w:r>
      <w:r>
        <w:rPr>
          <w:rFonts w:hint="eastAsia" w:ascii="宋体" w:hAnsi="宋体" w:eastAsia="宋体" w:cs="宋体"/>
          <w:i/>
          <w:iCs/>
          <w:szCs w:val="21"/>
        </w:rPr>
        <w:t>ν</w:t>
      </w:r>
      <w:r>
        <w:rPr>
          <w:rFonts w:hint="eastAsia" w:ascii="宋体" w:hAnsi="宋体" w:eastAsia="宋体" w:cs="宋体"/>
          <w:szCs w:val="21"/>
        </w:rPr>
        <w:t>=0.3。</w:t>
      </w:r>
    </w:p>
    <w:p>
      <w:pPr>
        <w:jc w:val="center"/>
        <w:rPr>
          <w:rFonts w:ascii="Times New Roman" w:hAnsi="Times New Roman" w:eastAsia="宋体" w:cs="Times New Roman"/>
          <w:szCs w:val="21"/>
        </w:rPr>
      </w:pPr>
      <w:r>
        <w:rPr>
          <w:rFonts w:ascii="Times New Roman" w:hAnsi="Times New Roman" w:eastAsia="宋体" w:cs="Times New Roman"/>
          <w:szCs w:val="21"/>
        </w:rPr>
        <w:object>
          <v:shape id="_x0000_i1027" o:spt="75" type="#_x0000_t75" style="height:87pt;width:171.75pt;" o:ole="t" filled="f" o:preferrelative="t" stroked="f" coordsize="21600,21600">
            <v:path/>
            <v:fill on="f" focussize="0,0"/>
            <v:stroke on="f" joinstyle="miter"/>
            <v:imagedata r:id="rId15" croptop="3449f" cropbottom="3923f" o:title=""/>
            <o:lock v:ext="edit" aspectratio="t"/>
            <w10:wrap type="none"/>
            <w10:anchorlock/>
          </v:shape>
          <o:OLEObject Type="Embed" ProgID="PowerPoint.Show.12" ShapeID="_x0000_i1027" DrawAspect="Content" ObjectID="_1468075727" r:id="rId14">
            <o:LockedField>false</o:LockedField>
          </o:OLEObject>
        </w:objec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object>
          <v:shape id="_x0000_i1028" o:spt="75" type="#_x0000_t75" style="height:87pt;width:171.75pt;" o:ole="t" filled="f" o:preferrelative="t" stroked="f" coordsize="21600,21600">
            <v:path/>
            <v:fill on="f" focussize="0,0"/>
            <v:stroke on="f" joinstyle="miter"/>
            <v:imagedata r:id="rId17" croptop="3909f" cropbottom="3673f" o:title=""/>
            <o:lock v:ext="edit" aspectratio="t"/>
            <w10:wrap type="none"/>
            <w10:anchorlock/>
          </v:shape>
          <o:OLEObject Type="Embed" ProgID="PowerPoint.Show.12" ShapeID="_x0000_i1028" DrawAspect="Content" ObjectID="_1468075728" r:id="rId16">
            <o:LockedField>false</o:LockedField>
          </o:OLEObject>
        </w:object>
      </w:r>
    </w:p>
    <w:p>
      <w:pPr>
        <w:pStyle w:val="18"/>
        <w:numPr>
          <w:ilvl w:val="0"/>
          <w:numId w:val="0"/>
        </w:numPr>
        <w:ind w:leftChars="0"/>
        <w:jc w:val="center"/>
        <w:rPr>
          <w:rFonts w:ascii="Times New Roman" w:hAnsi="Times New Roman" w:eastAsia="宋体" w:cs="Times New Roman"/>
          <w:sz w:val="18"/>
          <w:szCs w:val="18"/>
        </w:rPr>
      </w:pPr>
      <w:r>
        <w:rPr>
          <w:rFonts w:hint="eastAsia" w:ascii="Times New Roman" w:hAnsi="Times New Roman" w:eastAsia="宋体" w:cs="Times New Roman"/>
          <w:sz w:val="18"/>
          <w:szCs w:val="18"/>
          <w:lang w:eastAsia="zh-CN"/>
        </w:rPr>
        <w:t>（</w:t>
      </w:r>
      <w:r>
        <w:rPr>
          <w:rFonts w:hint="eastAsia" w:ascii="Times New Roman" w:hAnsi="Times New Roman" w:eastAsia="宋体" w:cs="Times New Roman"/>
          <w:sz w:val="18"/>
          <w:szCs w:val="18"/>
          <w:lang w:val="en-US" w:eastAsia="zh-CN"/>
        </w:rPr>
        <w:t>a</w:t>
      </w:r>
      <w:r>
        <w:rPr>
          <w:rFonts w:hint="eastAsia" w:ascii="Times New Roman" w:hAnsi="Times New Roman" w:eastAsia="宋体" w:cs="Times New Roman"/>
          <w:sz w:val="18"/>
          <w:szCs w:val="18"/>
          <w:lang w:eastAsia="zh-CN"/>
        </w:rPr>
        <w:t>）</w:t>
      </w:r>
      <w:r>
        <w:rPr>
          <w:rFonts w:ascii="Times New Roman" w:hAnsi="Times New Roman" w:eastAsia="宋体" w:cs="Times New Roman"/>
          <w:sz w:val="18"/>
          <w:szCs w:val="18"/>
        </w:rPr>
        <w:t>顶管间距1.06m</w:t>
      </w:r>
      <w:r>
        <w:rPr>
          <w:rFonts w:hint="eastAsia" w:ascii="Times New Roman" w:hAnsi="Times New Roman" w:eastAsia="宋体" w:cs="Times New Roman"/>
          <w:sz w:val="18"/>
          <w:szCs w:val="18"/>
          <w:lang w:val="en-US" w:eastAsia="zh-CN"/>
        </w:rPr>
        <w:t xml:space="preserve">                   （b）</w:t>
      </w:r>
      <w:r>
        <w:rPr>
          <w:rFonts w:ascii="Times New Roman" w:hAnsi="Times New Roman" w:eastAsia="宋体" w:cs="Times New Roman"/>
          <w:sz w:val="18"/>
          <w:szCs w:val="18"/>
        </w:rPr>
        <w:t>顶管间距1.60m</w:t>
      </w:r>
    </w:p>
    <w:p>
      <w:pPr>
        <w:jc w:val="center"/>
        <w:rPr>
          <w:rFonts w:ascii="Times New Roman" w:hAnsi="Times New Roman" w:eastAsia="宋体" w:cs="Times New Roman"/>
          <w:szCs w:val="21"/>
        </w:rPr>
      </w:pPr>
      <w:r>
        <w:rPr>
          <w:rFonts w:ascii="Times New Roman" w:hAnsi="Times New Roman" w:eastAsia="宋体" w:cs="Times New Roman"/>
          <w:szCs w:val="21"/>
        </w:rPr>
        <w:object>
          <v:shape id="_x0000_i1029" o:spt="75" type="#_x0000_t75" style="height:85.5pt;width:169.5pt;" o:ole="t" filled="f" o:preferrelative="t" stroked="f" coordsize="21600,21600">
            <v:path/>
            <v:fill on="f" focussize="0,0"/>
            <v:stroke on="f" joinstyle="miter"/>
            <v:imagedata r:id="rId19" croptop="3492f" cropright="-116f" cropbottom="3634f" o:title=""/>
            <o:lock v:ext="edit" aspectratio="t"/>
            <w10:wrap type="none"/>
            <w10:anchorlock/>
          </v:shape>
          <o:OLEObject Type="Embed" ProgID="PowerPoint.Show.12" ShapeID="_x0000_i1029" DrawAspect="Content" ObjectID="_1468075729" r:id="rId18">
            <o:LockedField>false</o:LockedField>
          </o:OLEObject>
        </w:objec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object>
          <v:shape id="_x0000_i1030" o:spt="75" type="#_x0000_t75" style="height:87pt;width:171.75pt;" o:ole="t" filled="f" o:preferrelative="t" stroked="f" coordsize="21600,21600">
            <v:path/>
            <v:fill on="f" focussize="0,0"/>
            <v:stroke on="f" joinstyle="miter"/>
            <v:imagedata r:id="rId21" croptop="3711f" cropbottom="3236f" o:title=""/>
            <o:lock v:ext="edit" aspectratio="t"/>
            <w10:wrap type="none"/>
            <w10:anchorlock/>
          </v:shape>
          <o:OLEObject Type="Embed" ProgID="PowerPoint.Show.12" ShapeID="_x0000_i1030" DrawAspect="Content" ObjectID="_1468075730" r:id="rId20">
            <o:LockedField>false</o:LockedField>
          </o:OLEObject>
        </w:object>
      </w:r>
    </w:p>
    <w:p>
      <w:pPr>
        <w:pStyle w:val="18"/>
        <w:numPr>
          <w:ilvl w:val="0"/>
          <w:numId w:val="0"/>
        </w:numPr>
        <w:ind w:leftChars="0"/>
        <w:jc w:val="center"/>
        <w:rPr>
          <w:rFonts w:ascii="Times New Roman" w:hAnsi="Times New Roman" w:eastAsia="宋体" w:cs="Times New Roman"/>
          <w:sz w:val="18"/>
          <w:szCs w:val="18"/>
        </w:rPr>
      </w:pPr>
      <w:r>
        <w:rPr>
          <w:rFonts w:hint="eastAsia" w:ascii="Times New Roman" w:hAnsi="Times New Roman" w:eastAsia="宋体" w:cs="Times New Roman"/>
          <w:sz w:val="18"/>
          <w:szCs w:val="18"/>
          <w:lang w:eastAsia="zh-CN"/>
        </w:rPr>
        <w:t>（</w:t>
      </w:r>
      <w:r>
        <w:rPr>
          <w:rFonts w:hint="eastAsia" w:ascii="Times New Roman" w:hAnsi="Times New Roman" w:eastAsia="宋体" w:cs="Times New Roman"/>
          <w:sz w:val="18"/>
          <w:szCs w:val="18"/>
          <w:lang w:val="en-US" w:eastAsia="zh-CN"/>
        </w:rPr>
        <w:t>d</w:t>
      </w:r>
      <w:r>
        <w:rPr>
          <w:rFonts w:hint="eastAsia" w:ascii="Times New Roman" w:hAnsi="Times New Roman" w:eastAsia="宋体" w:cs="Times New Roman"/>
          <w:sz w:val="18"/>
          <w:szCs w:val="18"/>
          <w:lang w:eastAsia="zh-CN"/>
        </w:rPr>
        <w:t>）</w:t>
      </w:r>
      <w:r>
        <w:rPr>
          <w:rFonts w:ascii="Times New Roman" w:hAnsi="Times New Roman" w:eastAsia="宋体" w:cs="Times New Roman"/>
          <w:sz w:val="18"/>
          <w:szCs w:val="18"/>
        </w:rPr>
        <w:t>顶管间距2.39m</w:t>
      </w:r>
      <w:r>
        <w:rPr>
          <w:rFonts w:hint="eastAsia" w:ascii="Times New Roman" w:hAnsi="Times New Roman" w:eastAsia="宋体" w:cs="Times New Roman"/>
          <w:sz w:val="18"/>
          <w:szCs w:val="18"/>
          <w:lang w:val="en-US" w:eastAsia="zh-CN"/>
        </w:rPr>
        <w:t xml:space="preserve">                    </w:t>
      </w:r>
      <w:r>
        <w:rPr>
          <w:rFonts w:hint="eastAsia" w:ascii="Times New Roman" w:hAnsi="Times New Roman" w:eastAsia="宋体" w:cs="Times New Roman"/>
          <w:sz w:val="18"/>
          <w:szCs w:val="18"/>
          <w:lang w:eastAsia="zh-CN"/>
        </w:rPr>
        <w:t>（</w:t>
      </w:r>
      <w:r>
        <w:rPr>
          <w:rFonts w:hint="eastAsia" w:ascii="Times New Roman" w:hAnsi="Times New Roman" w:eastAsia="宋体" w:cs="Times New Roman"/>
          <w:sz w:val="18"/>
          <w:szCs w:val="18"/>
          <w:lang w:val="en-US" w:eastAsia="zh-CN"/>
        </w:rPr>
        <w:t>d</w:t>
      </w:r>
      <w:r>
        <w:rPr>
          <w:rFonts w:hint="eastAsia" w:ascii="Times New Roman" w:hAnsi="Times New Roman" w:eastAsia="宋体" w:cs="Times New Roman"/>
          <w:sz w:val="18"/>
          <w:szCs w:val="18"/>
          <w:lang w:eastAsia="zh-CN"/>
        </w:rPr>
        <w:t>）</w:t>
      </w:r>
      <w:r>
        <w:rPr>
          <w:rFonts w:ascii="Times New Roman" w:hAnsi="Times New Roman" w:eastAsia="宋体" w:cs="Times New Roman"/>
          <w:sz w:val="18"/>
          <w:szCs w:val="18"/>
        </w:rPr>
        <w:t>顶管间距3.41m</w:t>
      </w:r>
    </w:p>
    <w:p>
      <w:pPr>
        <w:pStyle w:val="18"/>
        <w:ind w:left="360" w:firstLine="360"/>
        <w:jc w:val="center"/>
        <w:rPr>
          <w:rFonts w:ascii="Times New Roman" w:hAnsi="Times New Roman" w:eastAsia="宋体" w:cs="Times New Roman"/>
          <w:b/>
          <w:bCs/>
          <w:sz w:val="18"/>
          <w:szCs w:val="18"/>
        </w:rPr>
      </w:pPr>
      <w:r>
        <w:rPr>
          <w:rFonts w:hint="eastAsia" w:ascii="Times New Roman" w:hAnsi="Times New Roman" w:eastAsia="宋体" w:cs="Times New Roman"/>
          <w:b/>
          <w:bCs/>
          <w:sz w:val="18"/>
          <w:szCs w:val="18"/>
        </w:rPr>
        <w:t>图4</w:t>
      </w:r>
      <w:r>
        <w:rPr>
          <w:rFonts w:ascii="Times New Roman" w:hAnsi="Times New Roman" w:eastAsia="宋体" w:cs="Times New Roman"/>
          <w:b/>
          <w:bCs/>
          <w:sz w:val="18"/>
          <w:szCs w:val="18"/>
        </w:rPr>
        <w:t xml:space="preserve">  </w:t>
      </w:r>
      <w:r>
        <w:rPr>
          <w:rFonts w:hint="eastAsia" w:ascii="Times New Roman" w:hAnsi="Times New Roman" w:eastAsia="宋体" w:cs="Times New Roman"/>
          <w:b/>
          <w:bCs/>
          <w:sz w:val="18"/>
          <w:szCs w:val="18"/>
        </w:rPr>
        <w:t>顶管置换不同处治间距的数值模型</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18"/>
          <w:szCs w:val="18"/>
        </w:rPr>
        <w:t>Fig</w:t>
      </w:r>
      <w:r>
        <w:rPr>
          <w:rFonts w:hint="eastAsia" w:ascii="Times New Roman" w:hAnsi="Times New Roman" w:eastAsia="宋体" w:cs="Times New Roman"/>
          <w:b/>
          <w:bCs/>
          <w:sz w:val="18"/>
          <w:szCs w:val="18"/>
        </w:rPr>
        <w:t>.</w:t>
      </w:r>
      <w:r>
        <w:rPr>
          <w:rFonts w:ascii="Times New Roman" w:hAnsi="Times New Roman" w:eastAsia="宋体" w:cs="Times New Roman"/>
          <w:b/>
          <w:bCs/>
          <w:sz w:val="18"/>
          <w:szCs w:val="18"/>
        </w:rPr>
        <w:t>4  Numerical model of pipe jacking replacement with different treatment spacing</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left"/>
        <w:textAlignment w:val="auto"/>
        <w:outlineLvl w:val="9"/>
        <w:rPr>
          <w:rFonts w:hint="eastAsia" w:ascii="宋体" w:hAnsi="宋体" w:eastAsia="宋体" w:cs="宋体"/>
          <w:b/>
          <w:bCs/>
          <w:szCs w:val="21"/>
        </w:rPr>
      </w:pPr>
      <w:r>
        <w:rPr>
          <w:rFonts w:hint="eastAsia" w:ascii="宋体" w:hAnsi="宋体" w:eastAsia="宋体" w:cs="宋体"/>
          <w:b/>
          <w:bCs/>
          <w:szCs w:val="21"/>
        </w:rPr>
        <w:t>2.2</w:t>
      </w:r>
      <w:r>
        <w:rPr>
          <w:rFonts w:hint="eastAsia" w:ascii="宋体" w:hAnsi="宋体" w:eastAsia="宋体" w:cs="宋体"/>
          <w:b/>
          <w:bCs/>
          <w:szCs w:val="21"/>
          <w:lang w:val="en-US" w:eastAsia="zh-CN"/>
        </w:rPr>
        <w:t xml:space="preserve">  </w:t>
      </w:r>
      <w:r>
        <w:rPr>
          <w:rFonts w:hint="eastAsia" w:ascii="宋体" w:hAnsi="宋体" w:eastAsia="宋体" w:cs="宋体"/>
          <w:b/>
          <w:bCs/>
          <w:szCs w:val="21"/>
        </w:rPr>
        <w:t>数值模拟结果分析</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eastAsia="宋体" w:cs="宋体"/>
          <w:szCs w:val="21"/>
        </w:rPr>
      </w:pPr>
      <w:r>
        <w:rPr>
          <w:rFonts w:hint="eastAsia" w:ascii="宋体" w:hAnsi="宋体" w:eastAsia="宋体" w:cs="宋体"/>
          <w:szCs w:val="21"/>
        </w:rPr>
        <w:t>先模拟未处治时的路基状态，对模型运算19年，即2000</w:t>
      </w:r>
      <w:r>
        <w:rPr>
          <w:rFonts w:hint="eastAsia" w:ascii="宋体" w:hAnsi="宋体" w:eastAsia="宋体" w:cs="宋体"/>
          <w:szCs w:val="21"/>
          <w:lang w:eastAsia="zh-CN"/>
        </w:rPr>
        <w:t>—</w:t>
      </w:r>
      <w:r>
        <w:rPr>
          <w:rFonts w:hint="eastAsia" w:ascii="宋体" w:hAnsi="宋体" w:eastAsia="宋体" w:cs="宋体"/>
          <w:szCs w:val="21"/>
        </w:rPr>
        <w:t>2019年，再将壳单元施加在模型中，并将其内部土体删除，对模型继续运算20年，得到监测点沉降与时间关系曲线</w:t>
      </w:r>
      <w:r>
        <w:rPr>
          <w:rFonts w:hint="eastAsia" w:ascii="宋体" w:hAnsi="宋体" w:eastAsia="宋体" w:cs="宋体"/>
          <w:szCs w:val="21"/>
          <w:lang w:eastAsia="zh-CN"/>
        </w:rPr>
        <w:t>，如</w:t>
      </w:r>
      <w:r>
        <w:rPr>
          <w:rFonts w:hint="eastAsia" w:ascii="宋体" w:hAnsi="宋体" w:eastAsia="宋体" w:cs="宋体"/>
          <w:szCs w:val="21"/>
        </w:rPr>
        <w:t>图5</w:t>
      </w:r>
      <w:r>
        <w:rPr>
          <w:rFonts w:hint="eastAsia" w:ascii="宋体" w:hAnsi="宋体" w:eastAsia="宋体" w:cs="宋体"/>
          <w:szCs w:val="21"/>
          <w:lang w:eastAsia="zh-CN"/>
        </w:rPr>
        <w:t>所示</w:t>
      </w:r>
      <w:r>
        <w:rPr>
          <w:rFonts w:hint="eastAsia" w:ascii="宋体" w:hAnsi="宋体" w:eastAsia="宋体" w:cs="宋体"/>
          <w:szCs w:val="21"/>
        </w:rPr>
        <w:t>。</w:t>
      </w:r>
    </w:p>
    <w:p>
      <w:pPr>
        <w:jc w:val="center"/>
        <w:rPr>
          <w:rFonts w:ascii="Times New Roman" w:hAnsi="Times New Roman" w:eastAsia="宋体" w:cs="Times New Roman"/>
          <w:szCs w:val="21"/>
        </w:rPr>
      </w:pPr>
      <w:r>
        <w:object>
          <v:shape id="_x0000_i1031" o:spt="75" type="#_x0000_t75" style="height:179.25pt;width:227.25pt;" o:ole="t" filled="f" o:preferrelative="t" stroked="f" coordsize="21600,21600">
            <v:path/>
            <v:fill on="f" focussize="0,0"/>
            <v:stroke on="f" joinstyle="miter"/>
            <v:imagedata r:id="rId23" cropleft="3168f" croptop="5494f" cropright="7744f" cropbottom="3689f" o:title=""/>
            <o:lock v:ext="edit" aspectratio="t"/>
            <w10:wrap type="none"/>
            <w10:anchorlock/>
          </v:shape>
          <o:OLEObject Type="Embed" ProgID="Origin50.Graph" ShapeID="_x0000_i1031" DrawAspect="Content" ObjectID="_1468075731" r:id="rId22">
            <o:LockedField>false</o:LockedField>
          </o:OLEObject>
        </w:object>
      </w:r>
    </w:p>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图5  2000</w:t>
      </w:r>
      <w:r>
        <w:rPr>
          <w:rFonts w:hint="eastAsia" w:ascii="Times New Roman" w:hAnsi="Times New Roman" w:eastAsia="宋体" w:cs="Times New Roman"/>
          <w:b/>
          <w:bCs/>
          <w:sz w:val="18"/>
          <w:szCs w:val="18"/>
          <w:lang w:eastAsia="zh-CN"/>
        </w:rPr>
        <w:t>—</w:t>
      </w:r>
      <w:r>
        <w:rPr>
          <w:rFonts w:hint="default" w:ascii="Times New Roman" w:hAnsi="Times New Roman" w:eastAsia="宋体" w:cs="Times New Roman"/>
          <w:b/>
          <w:bCs/>
          <w:sz w:val="18"/>
          <w:szCs w:val="18"/>
        </w:rPr>
        <w:t>2039年各区域沉降曲线</w:t>
      </w: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18"/>
          <w:szCs w:val="18"/>
        </w:rPr>
        <w:t xml:space="preserve">Fig.5  Regional subsidence curves </w:t>
      </w:r>
      <w:r>
        <w:rPr>
          <w:rFonts w:hint="eastAsia" w:ascii="Times New Roman" w:hAnsi="Times New Roman" w:eastAsia="宋体" w:cs="Times New Roman"/>
          <w:b/>
          <w:bCs/>
          <w:sz w:val="18"/>
          <w:szCs w:val="18"/>
          <w:lang w:val="en-US" w:eastAsia="zh-CN"/>
        </w:rPr>
        <w:t>of</w:t>
      </w:r>
      <w:r>
        <w:rPr>
          <w:rFonts w:hint="default" w:ascii="Times New Roman" w:hAnsi="Times New Roman" w:eastAsia="宋体" w:cs="Times New Roman"/>
          <w:b/>
          <w:bCs/>
          <w:sz w:val="18"/>
          <w:szCs w:val="18"/>
        </w:rPr>
        <w:t xml:space="preserve"> 2000-2039</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从图</w:t>
      </w:r>
      <w:r>
        <w:rPr>
          <w:rFonts w:hint="eastAsia" w:ascii="宋体" w:hAnsi="宋体" w:eastAsia="宋体" w:cs="宋体"/>
          <w:szCs w:val="21"/>
          <w:lang w:val="en-US" w:eastAsia="zh-CN"/>
        </w:rPr>
        <w:t>5</w:t>
      </w:r>
      <w:r>
        <w:rPr>
          <w:rFonts w:hint="eastAsia" w:ascii="宋体" w:hAnsi="宋体" w:eastAsia="宋体" w:cs="宋体"/>
          <w:szCs w:val="21"/>
        </w:rPr>
        <w:t>中可得</w:t>
      </w:r>
      <w:r>
        <w:rPr>
          <w:rFonts w:hint="eastAsia" w:ascii="宋体" w:hAnsi="宋体" w:eastAsia="宋体" w:cs="宋体"/>
          <w:szCs w:val="21"/>
          <w:lang w:eastAsia="zh-CN"/>
        </w:rPr>
        <w:t>，</w:t>
      </w:r>
      <w:r>
        <w:rPr>
          <w:rFonts w:hint="eastAsia" w:ascii="宋体" w:hAnsi="宋体" w:eastAsia="宋体" w:cs="宋体"/>
          <w:szCs w:val="21"/>
        </w:rPr>
        <w:t>在2019</w:t>
      </w:r>
      <w:r>
        <w:rPr>
          <w:rFonts w:hint="eastAsia" w:ascii="宋体" w:hAnsi="宋体" w:eastAsia="宋体" w:cs="宋体"/>
          <w:szCs w:val="21"/>
          <w:lang w:eastAsia="zh-CN"/>
        </w:rPr>
        <w:t>—</w:t>
      </w:r>
      <w:r>
        <w:rPr>
          <w:rFonts w:hint="eastAsia" w:ascii="宋体" w:hAnsi="宋体" w:eastAsia="宋体" w:cs="宋体"/>
          <w:szCs w:val="21"/>
        </w:rPr>
        <w:t>2039年间，路桥过渡段经顶管置换法处治后沉降量明显减小，且随着顶管间距的减小，沉降控制效果呈上升趋势。在同一时期，间距为1.06m时，处治效果最好，其最终沉降量减少了0.172m</w:t>
      </w:r>
      <w:r>
        <w:rPr>
          <w:rFonts w:hint="eastAsia" w:ascii="宋体" w:hAnsi="宋体" w:eastAsia="宋体" w:cs="宋体"/>
          <w:szCs w:val="21"/>
          <w:lang w:eastAsia="zh-CN"/>
        </w:rPr>
        <w:t>，位移云图如图</w:t>
      </w:r>
      <w:r>
        <w:rPr>
          <w:rFonts w:hint="eastAsia" w:ascii="宋体" w:hAnsi="宋体" w:eastAsia="宋体" w:cs="宋体"/>
          <w:szCs w:val="21"/>
          <w:lang w:val="en-US" w:eastAsia="zh-CN"/>
        </w:rPr>
        <w:t>6所示</w:t>
      </w:r>
      <w:r>
        <w:rPr>
          <w:rFonts w:hint="eastAsia" w:ascii="宋体" w:hAnsi="宋体" w:eastAsia="宋体" w:cs="宋体"/>
          <w:szCs w:val="21"/>
        </w:rPr>
        <w:t>。从图6中可以看出，经处治后，沉降主要发生在路堤处，且越接近路面中心，沉降量越大，是由车辆荷载作用引起的，距离荷载作用位置越近，影响越大。</w:t>
      </w:r>
    </w:p>
    <w:p>
      <w:pPr>
        <w:jc w:val="center"/>
        <w:rPr>
          <w:rFonts w:ascii="Times New Roman" w:hAnsi="Times New Roman" w:eastAsia="宋体" w:cs="Times New Roman"/>
          <w:sz w:val="18"/>
          <w:szCs w:val="18"/>
        </w:rPr>
      </w:pPr>
      <w:r>
        <w:rPr>
          <w:rFonts w:ascii="Times New Roman" w:hAnsi="Times New Roman" w:eastAsia="宋体" w:cs="Times New Roman"/>
          <w:sz w:val="18"/>
          <w:szCs w:val="18"/>
        </w:rPr>
        <w:object>
          <v:shape id="_x0000_i1032" o:spt="75" type="#_x0000_t75" style="height:87.75pt;width:169.5pt;" o:ole="t" filled="f" o:preferrelative="t" stroked="f" coordsize="21600,21600">
            <v:path/>
            <v:fill on="f" focussize="0,0"/>
            <v:stroke on="f" joinstyle="miter"/>
            <v:imagedata r:id="rId25" cropleft="1901f" croptop="2823f" cropright="4608f" cropbottom="8793f" o:title=""/>
            <o:lock v:ext="edit" aspectratio="t"/>
            <w10:wrap type="none"/>
            <w10:anchorlock/>
          </v:shape>
          <o:OLEObject Type="Embed" ProgID="PowerPoint.Show.12" ShapeID="_x0000_i1032" DrawAspect="Content" ObjectID="_1468075732" r:id="rId24">
            <o:LockedField>false</o:LockedField>
          </o:OLEObject>
        </w:object>
      </w:r>
    </w:p>
    <w:p>
      <w:pPr>
        <w:jc w:val="center"/>
        <w:rPr>
          <w:rFonts w:ascii="Times New Roman" w:hAnsi="Times New Roman" w:eastAsia="宋体" w:cs="Times New Roman"/>
          <w:b/>
          <w:bCs/>
          <w:sz w:val="18"/>
          <w:szCs w:val="18"/>
        </w:rPr>
      </w:pPr>
      <w:r>
        <w:rPr>
          <w:rFonts w:hint="eastAsia" w:ascii="Times New Roman" w:hAnsi="Times New Roman" w:eastAsia="宋体" w:cs="Times New Roman"/>
          <w:b/>
          <w:bCs/>
          <w:sz w:val="18"/>
          <w:szCs w:val="18"/>
        </w:rPr>
        <w:t>图</w:t>
      </w:r>
      <w:r>
        <w:rPr>
          <w:rFonts w:ascii="Times New Roman" w:hAnsi="Times New Roman" w:eastAsia="宋体" w:cs="Times New Roman"/>
          <w:b/>
          <w:bCs/>
          <w:sz w:val="18"/>
          <w:szCs w:val="18"/>
        </w:rPr>
        <w:t>6  处治</w:t>
      </w:r>
      <w:r>
        <w:rPr>
          <w:rFonts w:hint="eastAsia" w:ascii="Times New Roman" w:hAnsi="Times New Roman" w:eastAsia="宋体" w:cs="Times New Roman"/>
          <w:b/>
          <w:bCs/>
          <w:sz w:val="18"/>
          <w:szCs w:val="18"/>
        </w:rPr>
        <w:t>间距</w:t>
      </w:r>
      <w:r>
        <w:rPr>
          <w:rFonts w:ascii="Times New Roman" w:hAnsi="Times New Roman" w:eastAsia="宋体" w:cs="Times New Roman"/>
          <w:b/>
          <w:bCs/>
          <w:sz w:val="18"/>
          <w:szCs w:val="18"/>
        </w:rPr>
        <w:t>为1.06m</w:t>
      </w:r>
      <w:r>
        <w:rPr>
          <w:rFonts w:hint="eastAsia" w:ascii="Times New Roman" w:hAnsi="Times New Roman" w:eastAsia="宋体" w:cs="Times New Roman"/>
          <w:b/>
          <w:bCs/>
          <w:sz w:val="18"/>
          <w:szCs w:val="18"/>
        </w:rPr>
        <w:t>的沉降</w:t>
      </w:r>
      <w:r>
        <w:rPr>
          <w:rFonts w:ascii="Times New Roman" w:hAnsi="Times New Roman" w:eastAsia="宋体" w:cs="Times New Roman"/>
          <w:b/>
          <w:bCs/>
          <w:sz w:val="18"/>
          <w:szCs w:val="18"/>
        </w:rPr>
        <w:t>位移云图</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18"/>
          <w:szCs w:val="18"/>
        </w:rPr>
        <w:t>Fig.6  Settlement displacement nephogram with treatment spacing of 1.06m</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不同顶管间距对沉降处治的影响</w:t>
      </w:r>
      <w:r>
        <w:rPr>
          <w:rFonts w:hint="eastAsia" w:ascii="宋体" w:hAnsi="宋体" w:eastAsia="宋体" w:cs="宋体"/>
          <w:sz w:val="21"/>
          <w:szCs w:val="21"/>
          <w:lang w:eastAsia="zh-CN"/>
        </w:rPr>
        <w:t>如图</w:t>
      </w:r>
      <w:r>
        <w:rPr>
          <w:rFonts w:hint="eastAsia" w:ascii="宋体" w:hAnsi="宋体" w:eastAsia="宋体" w:cs="宋体"/>
          <w:sz w:val="21"/>
          <w:szCs w:val="21"/>
          <w:lang w:val="en-US" w:eastAsia="zh-CN"/>
        </w:rPr>
        <w:t xml:space="preserve">7、图8所地。 </w:t>
      </w:r>
      <w:r>
        <w:rPr>
          <w:rFonts w:hint="eastAsia" w:ascii="宋体" w:hAnsi="宋体" w:eastAsia="宋体" w:cs="宋体"/>
          <w:sz w:val="21"/>
          <w:szCs w:val="21"/>
        </w:rPr>
        <w:t>从图</w:t>
      </w:r>
      <w:r>
        <w:rPr>
          <w:rFonts w:hint="eastAsia" w:ascii="宋体" w:hAnsi="宋体" w:eastAsia="宋体" w:cs="宋体"/>
          <w:sz w:val="21"/>
          <w:szCs w:val="21"/>
          <w:lang w:val="en-US" w:eastAsia="zh-CN"/>
        </w:rPr>
        <w:t>7、图8</w:t>
      </w:r>
      <w:r>
        <w:rPr>
          <w:rFonts w:hint="eastAsia" w:ascii="宋体" w:hAnsi="宋体" w:eastAsia="宋体" w:cs="宋体"/>
          <w:sz w:val="21"/>
          <w:szCs w:val="21"/>
        </w:rPr>
        <w:t>可以得出</w:t>
      </w:r>
      <w:r>
        <w:rPr>
          <w:rFonts w:hint="eastAsia" w:ascii="宋体" w:hAnsi="宋体" w:eastAsia="宋体" w:cs="宋体"/>
          <w:sz w:val="21"/>
          <w:szCs w:val="21"/>
          <w:lang w:eastAsia="zh-CN"/>
        </w:rPr>
        <w:t>，</w:t>
      </w:r>
      <w:r>
        <w:rPr>
          <w:rFonts w:hint="eastAsia" w:ascii="宋体" w:hAnsi="宋体" w:eastAsia="宋体" w:cs="宋体"/>
          <w:sz w:val="21"/>
          <w:szCs w:val="21"/>
        </w:rPr>
        <w:t>随间距的减小，路堤减载越大，路基沉降量逐渐减小，沉降量变化百分比也逐渐增大，沉降控制效果逐渐增强。间距为1.06m时，沉降量变化最为明显，最大沉降减少量百分比达到29.30%。且在顶管施工过程中,管道周围地层就会发生形变而产生应力释放, 这是管道周边应力向四围传递的结果，即土拱效应</w:t>
      </w:r>
      <w:r>
        <w:rPr>
          <w:rFonts w:hint="eastAsia" w:ascii="宋体" w:hAnsi="宋体" w:eastAsia="宋体" w:cs="宋体"/>
          <w:sz w:val="21"/>
          <w:szCs w:val="21"/>
          <w:vertAlign w:val="superscript"/>
        </w:rPr>
        <w:fldChar w:fldCharType="begin"/>
      </w:r>
      <w:r>
        <w:rPr>
          <w:rFonts w:hint="eastAsia" w:ascii="宋体" w:hAnsi="宋体" w:eastAsia="宋体" w:cs="宋体"/>
          <w:sz w:val="21"/>
          <w:szCs w:val="21"/>
          <w:vertAlign w:val="superscript"/>
        </w:rPr>
        <w:instrText xml:space="preserve"> REF _Ref54276599 \r \h  \* MERGEFORMAT </w:instrText>
      </w:r>
      <w:r>
        <w:rPr>
          <w:rFonts w:hint="eastAsia" w:ascii="宋体" w:hAnsi="宋体" w:eastAsia="宋体" w:cs="宋体"/>
          <w:sz w:val="21"/>
          <w:szCs w:val="21"/>
          <w:vertAlign w:val="superscript"/>
        </w:rPr>
        <w:fldChar w:fldCharType="separate"/>
      </w:r>
      <w:r>
        <w:rPr>
          <w:rFonts w:hint="eastAsia" w:ascii="宋体" w:hAnsi="宋体" w:eastAsia="宋体" w:cs="宋体"/>
          <w:sz w:val="21"/>
          <w:szCs w:val="21"/>
          <w:vertAlign w:val="superscript"/>
        </w:rPr>
        <w:t>[12]</w:t>
      </w:r>
      <w:r>
        <w:rPr>
          <w:rFonts w:hint="eastAsia" w:ascii="宋体" w:hAnsi="宋体" w:eastAsia="宋体" w:cs="宋体"/>
          <w:sz w:val="21"/>
          <w:szCs w:val="21"/>
          <w:vertAlign w:val="superscript"/>
        </w:rPr>
        <w:fldChar w:fldCharType="end"/>
      </w:r>
      <w:r>
        <w:rPr>
          <w:rFonts w:hint="eastAsia" w:ascii="宋体" w:hAnsi="宋体" w:eastAsia="宋体" w:cs="宋体"/>
          <w:sz w:val="21"/>
          <w:szCs w:val="21"/>
        </w:rPr>
        <w:t>，在一定程度上降低了因土层损失、收敛位移所造成的地表沉降。综合考虑路桥过渡段不同区域对沉降要求，对顶管间距进行渐变设计，使得路桥过渡段沉降呈平缓过渡。</w:t>
      </w:r>
    </w:p>
    <w:p>
      <w:pPr>
        <w:jc w:val="center"/>
        <w:rPr>
          <w:rFonts w:ascii="Times New Roman" w:hAnsi="Times New Roman" w:eastAsia="宋体" w:cs="Times New Roman"/>
          <w:sz w:val="18"/>
          <w:szCs w:val="18"/>
        </w:rPr>
      </w:pPr>
      <w:r>
        <w:object>
          <v:shape id="_x0000_i1033" o:spt="75" type="#_x0000_t75" style="height:165pt;width:202.5pt;" o:ole="t" filled="f" o:preferrelative="t" stroked="f" coordsize="21600,21600">
            <v:path/>
            <v:fill on="f" focussize="0,0"/>
            <v:stroke on="f" joinstyle="miter"/>
            <v:imagedata r:id="rId27" cropleft="3664f" croptop="4773f" cropright="7893f" cropbottom="3488f" o:title=""/>
            <o:lock v:ext="edit" aspectratio="t"/>
            <w10:wrap type="none"/>
            <w10:anchorlock/>
          </v:shape>
          <o:OLEObject Type="Embed" ProgID="Origin50.Graph" ShapeID="_x0000_i1033" DrawAspect="Content" ObjectID="_1468075733" r:id="rId26">
            <o:LockedField>false</o:LockedField>
          </o:OLEObject>
        </w:object>
      </w:r>
    </w:p>
    <w:p>
      <w:pPr>
        <w:jc w:val="center"/>
        <w:rPr>
          <w:rFonts w:ascii="Times New Roman" w:hAnsi="Times New Roman" w:eastAsia="宋体" w:cs="Times New Roman"/>
          <w:sz w:val="18"/>
          <w:szCs w:val="18"/>
        </w:rPr>
      </w:pPr>
      <w:r>
        <w:rPr>
          <w:rFonts w:hint="eastAsia" w:ascii="Times New Roman" w:hAnsi="Times New Roman" w:eastAsia="宋体" w:cs="Times New Roman"/>
          <w:b/>
          <w:bCs/>
          <w:sz w:val="18"/>
          <w:szCs w:val="18"/>
        </w:rPr>
        <w:t>图</w:t>
      </w:r>
      <w:r>
        <w:rPr>
          <w:rFonts w:ascii="Times New Roman" w:hAnsi="Times New Roman" w:eastAsia="宋体" w:cs="Times New Roman"/>
          <w:b/>
          <w:bCs/>
          <w:sz w:val="18"/>
          <w:szCs w:val="18"/>
        </w:rPr>
        <w:t xml:space="preserve">7  </w:t>
      </w:r>
      <w:r>
        <w:rPr>
          <w:rFonts w:hint="eastAsia" w:ascii="Times New Roman" w:hAnsi="Times New Roman" w:eastAsia="宋体" w:cs="Times New Roman"/>
          <w:b/>
          <w:bCs/>
          <w:sz w:val="18"/>
          <w:szCs w:val="18"/>
        </w:rPr>
        <w:t>不同间距处治下</w:t>
      </w:r>
      <w:r>
        <w:rPr>
          <w:rFonts w:ascii="Times New Roman" w:hAnsi="Times New Roman" w:eastAsia="宋体" w:cs="Times New Roman"/>
          <w:b/>
          <w:bCs/>
          <w:sz w:val="18"/>
          <w:szCs w:val="18"/>
        </w:rPr>
        <w:t xml:space="preserve">20年后的沉降量 </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18"/>
          <w:szCs w:val="18"/>
        </w:rPr>
        <w:t>Fig.7  Settlement after 20 years treatment with different spacing</w:t>
      </w:r>
    </w:p>
    <w:p>
      <w:pPr>
        <w:jc w:val="center"/>
        <w:rPr>
          <w:rFonts w:ascii="Times New Roman" w:hAnsi="Times New Roman" w:eastAsia="宋体" w:cs="Times New Roman"/>
          <w:szCs w:val="21"/>
        </w:rPr>
      </w:pPr>
      <w:r>
        <w:object>
          <v:shape id="_x0000_i1034" o:spt="75" type="#_x0000_t75" style="height:168pt;width:209.25pt;" o:ole="t" filled="f" o:preferrelative="t" stroked="f" coordsize="21600,21600">
            <v:path/>
            <v:fill on="f" focussize="0,0"/>
            <v:stroke on="f"/>
            <v:imagedata r:id="rId29" cropleft="4933f" croptop="5324f" cropright="7047f" cropbottom="4406f" o:title=""/>
            <o:lock v:ext="edit" aspectratio="t"/>
            <w10:wrap type="none"/>
            <w10:anchorlock/>
          </v:shape>
          <o:OLEObject Type="Embed" ProgID="Origin50.Graph" ShapeID="_x0000_i1034" DrawAspect="Content" ObjectID="_1468075734" r:id="rId28">
            <o:LockedField>false</o:LockedField>
          </o:OLEObject>
        </w:object>
      </w:r>
    </w:p>
    <w:p>
      <w:pPr>
        <w:jc w:val="center"/>
        <w:rPr>
          <w:rFonts w:hint="eastAsia" w:ascii="Times New Roman" w:hAnsi="Times New Roman" w:eastAsia="宋体" w:cs="Times New Roman"/>
          <w:b/>
          <w:bCs/>
          <w:sz w:val="18"/>
          <w:szCs w:val="18"/>
        </w:rPr>
      </w:pPr>
      <w:r>
        <w:rPr>
          <w:rFonts w:hint="eastAsia" w:ascii="Times New Roman" w:hAnsi="Times New Roman" w:eastAsia="宋体" w:cs="Times New Roman"/>
          <w:b/>
          <w:bCs/>
          <w:sz w:val="18"/>
          <w:szCs w:val="18"/>
        </w:rPr>
        <w:t>图8 不同间距处治下20年后的沉降量变化百分比</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18"/>
          <w:szCs w:val="18"/>
        </w:rPr>
        <w:t xml:space="preserve">Fig.8  </w:t>
      </w:r>
      <w:r>
        <w:rPr>
          <w:rFonts w:hint="eastAsia" w:ascii="Times New Roman" w:hAnsi="Times New Roman" w:eastAsia="宋体" w:cs="Times New Roman"/>
          <w:b/>
          <w:bCs/>
          <w:sz w:val="18"/>
          <w:szCs w:val="18"/>
          <w:lang w:val="en-US" w:eastAsia="zh-CN"/>
        </w:rPr>
        <w:t>C</w:t>
      </w:r>
      <w:r>
        <w:rPr>
          <w:rFonts w:ascii="Times New Roman" w:hAnsi="Times New Roman" w:eastAsia="宋体" w:cs="Times New Roman"/>
          <w:b/>
          <w:bCs/>
          <w:sz w:val="18"/>
          <w:szCs w:val="18"/>
        </w:rPr>
        <w:t>hange percentage of settlement after 20 years treatment with different spacing</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
          <w:bCs/>
          <w:szCs w:val="21"/>
        </w:rPr>
      </w:pPr>
      <w:r>
        <w:rPr>
          <w:rFonts w:hint="eastAsia" w:ascii="宋体" w:hAnsi="宋体" w:eastAsia="宋体" w:cs="宋体"/>
          <w:b/>
          <w:bCs/>
          <w:szCs w:val="21"/>
        </w:rPr>
        <w:t xml:space="preserve">3  </w:t>
      </w:r>
      <w:r>
        <w:rPr>
          <w:rFonts w:hint="eastAsia" w:ascii="宋体" w:hAnsi="宋体" w:eastAsia="宋体" w:cs="宋体"/>
          <w:b/>
          <w:bCs/>
        </w:rPr>
        <w:t>顶管渐变置换法</w:t>
      </w:r>
      <w:r>
        <w:rPr>
          <w:rFonts w:hint="eastAsia" w:ascii="宋体" w:hAnsi="宋体" w:eastAsia="宋体" w:cs="宋体"/>
          <w:b/>
          <w:bCs/>
          <w:szCs w:val="21"/>
        </w:rPr>
        <w:t>处治效果分析</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
          <w:bCs/>
          <w:szCs w:val="21"/>
        </w:rPr>
      </w:pPr>
      <w:r>
        <w:rPr>
          <w:rFonts w:hint="eastAsia" w:ascii="宋体" w:hAnsi="宋体" w:eastAsia="宋体" w:cs="宋体"/>
          <w:b/>
          <w:bCs/>
          <w:szCs w:val="21"/>
        </w:rPr>
        <w:t>3.1  处治方案参数确定</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lang w:eastAsia="zh-CN"/>
        </w:rPr>
        <w:t>根据</w:t>
      </w:r>
      <w:r>
        <w:rPr>
          <w:rFonts w:hint="eastAsia" w:ascii="宋体" w:hAnsi="宋体" w:eastAsia="宋体" w:cs="宋体"/>
          <w:szCs w:val="21"/>
        </w:rPr>
        <w:t>上述结果，对路桥过渡段进行顶管渐变置换处治。将路桥过渡段分为A、B、C、D四个分区，各分区范围分别为11.32m、10.97m、7m和10.28m，各分区顶管间距分别为1.06m、1.60m、2.39m、3.41m，顶管直径均为0.6m</w:t>
      </w:r>
      <w:r>
        <w:rPr>
          <w:rFonts w:hint="eastAsia" w:ascii="宋体" w:hAnsi="宋体" w:eastAsia="宋体" w:cs="宋体"/>
          <w:szCs w:val="21"/>
          <w:lang w:eastAsia="zh-CN"/>
        </w:rPr>
        <w:t>，如图</w:t>
      </w:r>
      <w:r>
        <w:rPr>
          <w:rFonts w:hint="eastAsia" w:ascii="宋体" w:hAnsi="宋体" w:eastAsia="宋体" w:cs="宋体"/>
          <w:szCs w:val="21"/>
          <w:lang w:val="en-US" w:eastAsia="zh-CN"/>
        </w:rPr>
        <w:t>9所示</w:t>
      </w:r>
      <w:r>
        <w:rPr>
          <w:rFonts w:hint="eastAsia" w:ascii="宋体" w:hAnsi="宋体" w:eastAsia="宋体" w:cs="宋体"/>
          <w:szCs w:val="21"/>
        </w:rPr>
        <w:t>。</w:t>
      </w:r>
    </w:p>
    <w:p>
      <w:pPr>
        <w:jc w:val="center"/>
        <w:rPr>
          <w:rFonts w:ascii="Times New Roman" w:hAnsi="Times New Roman" w:eastAsia="宋体" w:cs="Times New Roman"/>
          <w:szCs w:val="21"/>
        </w:rPr>
      </w:pPr>
      <w:r>
        <w:rPr>
          <w:rFonts w:ascii="Times New Roman" w:hAnsi="Times New Roman" w:eastAsia="宋体" w:cs="Times New Roman"/>
          <w:szCs w:val="21"/>
        </w:rPr>
        <w:object>
          <v:shape id="_x0000_i1035" o:spt="75" type="#_x0000_t75" style="height:79.5pt;width:188.25pt;" o:ole="t" filled="f" o:preferrelative="t" stroked="f" coordsize="21600,21600">
            <v:path/>
            <v:fill on="f" focussize="0,0"/>
            <v:stroke on="f" joinstyle="miter"/>
            <v:imagedata r:id="rId31" cropleft="14793f" croptop="24195f" cropright="17110f" cropbottom="8629f" o:title=""/>
            <o:lock v:ext="edit" aspectratio="t"/>
            <w10:wrap type="none"/>
            <w10:anchorlock/>
          </v:shape>
          <o:OLEObject Type="Embed" ProgID="AutoCAD.Drawing.18" ShapeID="_x0000_i1035" DrawAspect="Content" ObjectID="_1468075735" r:id="rId30">
            <o:LockedField>false</o:LockedField>
          </o:OLEObject>
        </w:object>
      </w:r>
    </w:p>
    <w:p>
      <w:pPr>
        <w:jc w:val="center"/>
        <w:rPr>
          <w:rFonts w:ascii="Times New Roman" w:hAnsi="Times New Roman" w:eastAsia="宋体" w:cs="Times New Roman"/>
          <w:sz w:val="18"/>
          <w:szCs w:val="18"/>
        </w:rPr>
      </w:pPr>
      <w:r>
        <w:rPr>
          <w:rFonts w:hint="eastAsia" w:ascii="Times New Roman" w:hAnsi="Times New Roman" w:eastAsia="宋体" w:cs="Times New Roman"/>
          <w:b/>
          <w:bCs/>
          <w:sz w:val="18"/>
          <w:szCs w:val="18"/>
        </w:rPr>
        <w:t>图9</w:t>
      </w:r>
      <w:r>
        <w:rPr>
          <w:rFonts w:ascii="Times New Roman" w:hAnsi="Times New Roman" w:eastAsia="宋体" w:cs="Times New Roman"/>
          <w:b/>
          <w:bCs/>
          <w:sz w:val="18"/>
          <w:szCs w:val="18"/>
        </w:rPr>
        <w:t xml:space="preserve">  </w:t>
      </w:r>
      <w:r>
        <w:rPr>
          <w:rFonts w:hint="eastAsia" w:ascii="Times New Roman" w:hAnsi="Times New Roman" w:eastAsia="宋体" w:cs="Times New Roman"/>
          <w:b/>
          <w:bCs/>
          <w:sz w:val="18"/>
          <w:szCs w:val="18"/>
        </w:rPr>
        <w:t>各分区顶管布置</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18"/>
          <w:szCs w:val="18"/>
        </w:rPr>
        <w:t>Fig.9  Layout of pipe jacking in each division</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
          <w:bCs/>
          <w:szCs w:val="21"/>
        </w:rPr>
      </w:pPr>
      <w:r>
        <w:rPr>
          <w:rFonts w:hint="eastAsia" w:ascii="宋体" w:hAnsi="宋体" w:eastAsia="宋体" w:cs="宋体"/>
          <w:b/>
          <w:bCs/>
          <w:szCs w:val="21"/>
        </w:rPr>
        <w:t>3.2  不处治下的三维数值模型</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建立148m×60m×48.4m验证数值模型，路面宽28m，路堤坡率为1</w:t>
      </w:r>
      <w:r>
        <w:rPr>
          <w:rFonts w:hint="eastAsia" w:ascii="宋体" w:hAnsi="宋体" w:eastAsia="宋体" w:cs="宋体"/>
          <w:szCs w:val="21"/>
          <w:lang w:eastAsia="zh-CN"/>
        </w:rPr>
        <w:t>∶</w:t>
      </w:r>
      <w:r>
        <w:rPr>
          <w:rFonts w:hint="eastAsia" w:ascii="宋体" w:hAnsi="宋体" w:eastAsia="宋体" w:cs="宋体"/>
          <w:szCs w:val="21"/>
        </w:rPr>
        <w:t>1.5</w:t>
      </w:r>
      <w:r>
        <w:rPr>
          <w:rFonts w:hint="eastAsia" w:ascii="宋体" w:hAnsi="宋体" w:eastAsia="宋体" w:cs="宋体"/>
          <w:szCs w:val="21"/>
          <w:lang w:eastAsia="zh-CN"/>
        </w:rPr>
        <w:t>，如图</w:t>
      </w:r>
      <w:r>
        <w:rPr>
          <w:rFonts w:hint="eastAsia" w:ascii="宋体" w:hAnsi="宋体" w:eastAsia="宋体" w:cs="宋体"/>
          <w:szCs w:val="21"/>
          <w:lang w:val="en-US" w:eastAsia="zh-CN"/>
        </w:rPr>
        <w:t>10所示</w:t>
      </w:r>
      <w:r>
        <w:rPr>
          <w:rFonts w:hint="eastAsia" w:ascii="宋体" w:hAnsi="宋体" w:eastAsia="宋体" w:cs="宋体"/>
          <w:szCs w:val="21"/>
        </w:rPr>
        <w:t>。在路桥连接处设置</w:t>
      </w:r>
      <w:r>
        <w:rPr>
          <w:rFonts w:hint="eastAsia" w:ascii="宋体" w:hAnsi="宋体" w:eastAsia="宋体" w:cs="宋体"/>
          <w:szCs w:val="21"/>
          <w:lang w:val="en-US" w:eastAsia="zh-CN"/>
        </w:rPr>
        <w:t>2</w:t>
      </w:r>
      <w:r>
        <w:rPr>
          <w:rFonts w:hint="eastAsia" w:ascii="宋体" w:hAnsi="宋体" w:eastAsia="宋体" w:cs="宋体"/>
          <w:szCs w:val="21"/>
        </w:rPr>
        <w:t>块长8m、厚0.6m的搭板。</w:t>
      </w:r>
    </w:p>
    <w:p>
      <w:pPr>
        <w:jc w:val="center"/>
        <w:rPr>
          <w:rFonts w:ascii="Times New Roman" w:hAnsi="Times New Roman" w:eastAsia="宋体" w:cs="Times New Roman"/>
          <w:szCs w:val="21"/>
        </w:rPr>
      </w:pPr>
      <w:r>
        <w:rPr>
          <w:rFonts w:ascii="Times New Roman" w:hAnsi="Times New Roman" w:eastAsia="宋体" w:cs="Times New Roman"/>
          <w:szCs w:val="21"/>
        </w:rPr>
        <w:object>
          <v:shape id="_x0000_i1036" o:spt="75" type="#_x0000_t75" style="height:107.25pt;width:191.25pt;" o:ole="t" filled="f" o:preferrelative="t" stroked="f" coordsize="21600,21600">
            <v:path/>
            <v:fill on="f" focussize="0,0"/>
            <v:stroke on="f" joinstyle="miter"/>
            <v:imagedata r:id="rId33" cropleft="2364f" croptop="4744f" cropright="3307f" cropbottom="274f" o:title=""/>
            <o:lock v:ext="edit" aspectratio="t"/>
            <w10:wrap type="none"/>
            <w10:anchorlock/>
          </v:shape>
          <o:OLEObject Type="Embed" ProgID="PowerPoint.Show.12" ShapeID="_x0000_i1036" DrawAspect="Content" ObjectID="_1468075736" r:id="rId32">
            <o:LockedField>false</o:LockedField>
          </o:OLEObject>
        </w:object>
      </w:r>
    </w:p>
    <w:p>
      <w:pPr>
        <w:jc w:val="center"/>
        <w:rPr>
          <w:rFonts w:ascii="Times New Roman" w:hAnsi="Times New Roman" w:eastAsia="宋体" w:cs="Times New Roman"/>
          <w:sz w:val="18"/>
          <w:szCs w:val="18"/>
        </w:rPr>
      </w:pPr>
      <w:r>
        <w:rPr>
          <w:rFonts w:hint="eastAsia" w:ascii="Times New Roman" w:hAnsi="Times New Roman" w:eastAsia="宋体" w:cs="Times New Roman"/>
          <w:b/>
          <w:bCs/>
          <w:sz w:val="18"/>
          <w:szCs w:val="18"/>
        </w:rPr>
        <w:t>图</w:t>
      </w:r>
      <w:r>
        <w:rPr>
          <w:rFonts w:ascii="Times New Roman" w:hAnsi="Times New Roman" w:eastAsia="宋体" w:cs="Times New Roman"/>
          <w:b/>
          <w:bCs/>
          <w:sz w:val="18"/>
          <w:szCs w:val="18"/>
        </w:rPr>
        <w:t xml:space="preserve">10  </w:t>
      </w:r>
      <w:r>
        <w:rPr>
          <w:rFonts w:hint="eastAsia" w:ascii="Times New Roman" w:hAnsi="Times New Roman" w:eastAsia="宋体" w:cs="Times New Roman"/>
          <w:b/>
          <w:bCs/>
          <w:sz w:val="18"/>
          <w:szCs w:val="18"/>
        </w:rPr>
        <w:t>验证计算</w:t>
      </w:r>
      <w:r>
        <w:rPr>
          <w:rFonts w:ascii="Times New Roman" w:hAnsi="Times New Roman" w:eastAsia="宋体" w:cs="Times New Roman"/>
          <w:b/>
          <w:bCs/>
          <w:sz w:val="18"/>
          <w:szCs w:val="18"/>
        </w:rPr>
        <w:t>模型</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18"/>
          <w:szCs w:val="18"/>
        </w:rPr>
        <w:t>Fig.10  Verification calculation model</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
          <w:bCs/>
          <w:szCs w:val="21"/>
        </w:rPr>
      </w:pPr>
      <w:r>
        <w:rPr>
          <w:rFonts w:hint="eastAsia" w:ascii="宋体" w:hAnsi="宋体" w:eastAsia="宋体" w:cs="宋体"/>
          <w:b/>
          <w:bCs/>
          <w:szCs w:val="21"/>
        </w:rPr>
        <w:t>3.3  不处治下的沉降量</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对不处治模型进行运算至2039年，得到模拟沉降云图</w:t>
      </w:r>
      <w:r>
        <w:rPr>
          <w:rFonts w:hint="eastAsia" w:ascii="宋体" w:hAnsi="宋体" w:eastAsia="宋体" w:cs="宋体"/>
          <w:szCs w:val="21"/>
          <w:lang w:eastAsia="zh-CN"/>
        </w:rPr>
        <w:t>，</w:t>
      </w:r>
      <w:r>
        <w:rPr>
          <w:rFonts w:hint="eastAsia" w:ascii="宋体" w:hAnsi="宋体" w:eastAsia="宋体" w:cs="宋体"/>
          <w:szCs w:val="21"/>
        </w:rPr>
        <w:t>如图</w:t>
      </w:r>
      <w:r>
        <w:rPr>
          <w:rFonts w:hint="eastAsia" w:ascii="宋体" w:hAnsi="宋体" w:eastAsia="宋体" w:cs="宋体"/>
          <w:szCs w:val="21"/>
          <w:lang w:val="en-US" w:eastAsia="zh-CN"/>
        </w:rPr>
        <w:t>11</w:t>
      </w:r>
      <w:r>
        <w:rPr>
          <w:rFonts w:hint="eastAsia" w:ascii="宋体" w:hAnsi="宋体" w:eastAsia="宋体" w:cs="宋体"/>
          <w:szCs w:val="21"/>
        </w:rPr>
        <w:t>所示。由</w:t>
      </w:r>
      <w:r>
        <w:rPr>
          <w:rFonts w:hint="eastAsia" w:ascii="宋体" w:hAnsi="宋体" w:eastAsia="宋体" w:cs="宋体"/>
          <w:szCs w:val="21"/>
          <w:lang w:eastAsia="zh-CN"/>
        </w:rPr>
        <w:t>图</w:t>
      </w:r>
      <w:r>
        <w:rPr>
          <w:rFonts w:hint="eastAsia" w:ascii="宋体" w:hAnsi="宋体" w:eastAsia="宋体" w:cs="宋体"/>
          <w:szCs w:val="21"/>
          <w:lang w:val="en-US" w:eastAsia="zh-CN"/>
        </w:rPr>
        <w:t>11可得到</w:t>
      </w:r>
      <w:r>
        <w:rPr>
          <w:rFonts w:hint="eastAsia" w:ascii="宋体" w:hAnsi="宋体" w:eastAsia="宋体" w:cs="宋体"/>
          <w:szCs w:val="21"/>
        </w:rPr>
        <w:t>在20年后，路面、路肩及路堤坡脚持续沉降至3.385m、2.913m、2.459m，沉降量变化量分别为0.555m、0.389m、0.269m。如不对其进行处治，将来会产生严重的桥头跳车问题。</w:t>
      </w:r>
    </w:p>
    <w:p>
      <w:pPr>
        <w:jc w:val="center"/>
        <w:rPr>
          <w:rFonts w:ascii="Times New Roman" w:hAnsi="Times New Roman" w:eastAsia="宋体" w:cs="Times New Roman"/>
          <w:szCs w:val="21"/>
        </w:rPr>
      </w:pPr>
      <w:r>
        <w:rPr>
          <w:rFonts w:ascii="Times New Roman" w:hAnsi="Times New Roman" w:eastAsia="宋体" w:cs="Times New Roman"/>
          <w:szCs w:val="21"/>
        </w:rPr>
        <w:object>
          <v:shape id="_x0000_i1037" o:spt="75" type="#_x0000_t75" style="height:96.75pt;width:169.5pt;" o:ole="t" filled="f" o:preferrelative="t" stroked="f" coordsize="21600,21600">
            <v:path/>
            <v:fill on="f" focussize="0,0"/>
            <v:stroke on="f" joinstyle="miter"/>
            <v:imagedata r:id="rId35" cropleft="2245f" cropright="3303f" o:title=""/>
            <o:lock v:ext="edit" aspectratio="t"/>
            <w10:wrap type="none"/>
            <w10:anchorlock/>
          </v:shape>
          <o:OLEObject Type="Embed" ProgID="PowerPoint.Show.12" ShapeID="_x0000_i1037" DrawAspect="Content" ObjectID="_1468075737" r:id="rId34">
            <o:LockedField>false</o:LockedField>
          </o:OLEObject>
        </w:object>
      </w:r>
    </w:p>
    <w:p>
      <w:pPr>
        <w:jc w:val="center"/>
        <w:rPr>
          <w:rFonts w:ascii="Times New Roman" w:hAnsi="Times New Roman" w:eastAsia="宋体" w:cs="Times New Roman"/>
          <w:b/>
          <w:bCs/>
          <w:sz w:val="18"/>
          <w:szCs w:val="18"/>
        </w:rPr>
      </w:pPr>
      <w:r>
        <w:rPr>
          <w:rFonts w:hint="eastAsia" w:ascii="Times New Roman" w:hAnsi="Times New Roman" w:eastAsia="宋体" w:cs="Times New Roman"/>
          <w:b/>
          <w:bCs/>
          <w:sz w:val="18"/>
          <w:szCs w:val="18"/>
        </w:rPr>
        <w:t>图1</w:t>
      </w:r>
      <w:r>
        <w:rPr>
          <w:rFonts w:ascii="Times New Roman" w:hAnsi="Times New Roman" w:eastAsia="宋体" w:cs="Times New Roman"/>
          <w:b/>
          <w:bCs/>
          <w:sz w:val="18"/>
          <w:szCs w:val="18"/>
        </w:rPr>
        <w:t xml:space="preserve">1 </w:t>
      </w:r>
      <w:r>
        <w:rPr>
          <w:rFonts w:hint="eastAsia" w:ascii="Times New Roman" w:hAnsi="Times New Roman" w:eastAsia="宋体" w:cs="Times New Roman"/>
          <w:b/>
          <w:bCs/>
          <w:sz w:val="18"/>
          <w:szCs w:val="18"/>
        </w:rPr>
        <w:t xml:space="preserve"> </w:t>
      </w:r>
      <w:r>
        <w:rPr>
          <w:rFonts w:ascii="Times New Roman" w:hAnsi="Times New Roman" w:eastAsia="宋体" w:cs="Times New Roman"/>
          <w:b/>
          <w:bCs/>
          <w:sz w:val="18"/>
          <w:szCs w:val="18"/>
        </w:rPr>
        <w:t>2000-2039年不作处治下的沉降云图</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18"/>
          <w:szCs w:val="18"/>
        </w:rPr>
        <w:t>Fig.11  Cloud chart of settlement without treatment from 2000 to 2039</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
          <w:bCs/>
          <w:szCs w:val="21"/>
        </w:rPr>
      </w:pPr>
      <w:r>
        <w:rPr>
          <w:rFonts w:hint="eastAsia" w:ascii="宋体" w:hAnsi="宋体" w:eastAsia="宋体" w:cs="宋体"/>
          <w:b/>
          <w:bCs/>
          <w:szCs w:val="21"/>
        </w:rPr>
        <w:t>3.4  顶管置换渐变处治数值模型</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采用FLAC</w:t>
      </w:r>
      <w:r>
        <w:rPr>
          <w:rFonts w:hint="eastAsia" w:ascii="宋体" w:hAnsi="宋体" w:eastAsia="宋体" w:cs="宋体"/>
          <w:szCs w:val="21"/>
          <w:vertAlign w:val="superscript"/>
        </w:rPr>
        <w:t>3D</w:t>
      </w:r>
      <w:r>
        <w:rPr>
          <w:rFonts w:hint="eastAsia" w:ascii="宋体" w:hAnsi="宋体" w:eastAsia="宋体" w:cs="宋体"/>
          <w:szCs w:val="21"/>
        </w:rPr>
        <w:t>建立顶管置换渐变处治模型，如图12所示。</w:t>
      </w:r>
    </w:p>
    <w:p>
      <w:pPr>
        <w:jc w:val="center"/>
        <w:rPr>
          <w:rFonts w:ascii="Times New Roman" w:hAnsi="Times New Roman" w:eastAsia="宋体" w:cs="Times New Roman"/>
          <w:szCs w:val="21"/>
        </w:rPr>
      </w:pPr>
      <w:r>
        <w:rPr>
          <w:rFonts w:ascii="Times New Roman" w:hAnsi="Times New Roman" w:eastAsia="宋体" w:cs="Times New Roman"/>
          <w:szCs w:val="21"/>
        </w:rPr>
        <w:object>
          <v:shape id="_x0000_i1038" o:spt="75" type="#_x0000_t75" style="height:104.25pt;width:195pt;" o:ole="t" filled="f" o:preferrelative="t" stroked="f" coordsize="21600,21600">
            <v:path/>
            <v:fill on="f" focussize="0,0"/>
            <v:stroke on="f" joinstyle="miter"/>
            <v:imagedata r:id="rId37" cropright="3011f" o:title=""/>
            <o:lock v:ext="edit" aspectratio="t"/>
            <w10:wrap type="none"/>
            <w10:anchorlock/>
          </v:shape>
          <o:OLEObject Type="Embed" ProgID="PowerPoint.Show.12" ShapeID="_x0000_i1038" DrawAspect="Content" ObjectID="_1468075738" r:id="rId36">
            <o:LockedField>false</o:LockedField>
          </o:OLEObject>
        </w:object>
      </w:r>
    </w:p>
    <w:p>
      <w:pPr>
        <w:jc w:val="center"/>
        <w:rPr>
          <w:rFonts w:hint="eastAsia" w:ascii="Times New Roman" w:hAnsi="Times New Roman" w:eastAsia="宋体" w:cs="Times New Roman"/>
          <w:b/>
          <w:bCs/>
          <w:sz w:val="18"/>
          <w:szCs w:val="18"/>
        </w:rPr>
      </w:pPr>
      <w:r>
        <w:rPr>
          <w:rFonts w:hint="eastAsia" w:ascii="Times New Roman" w:hAnsi="Times New Roman" w:eastAsia="宋体" w:cs="Times New Roman"/>
          <w:b/>
          <w:bCs/>
          <w:sz w:val="18"/>
          <w:szCs w:val="18"/>
        </w:rPr>
        <w:t>图12  顶管渐变置换处治数值模型</w:t>
      </w:r>
    </w:p>
    <w:p>
      <w:pPr>
        <w:spacing w:after="156" w:afterLines="50"/>
        <w:jc w:val="center"/>
        <w:rPr>
          <w:rFonts w:ascii="Times New Roman" w:hAnsi="Times New Roman" w:eastAsia="宋体" w:cs="Times New Roman"/>
          <w:sz w:val="21"/>
          <w:szCs w:val="21"/>
        </w:rPr>
      </w:pPr>
      <w:r>
        <w:rPr>
          <w:rFonts w:ascii="Times New Roman" w:hAnsi="Times New Roman" w:eastAsia="宋体" w:cs="Times New Roman"/>
          <w:sz w:val="18"/>
          <w:szCs w:val="18"/>
        </w:rPr>
        <w:t>Fig.12  Numerical model of pipe jacking with gradual displacement treatment</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textAlignment w:val="auto"/>
        <w:outlineLvl w:val="9"/>
        <w:rPr>
          <w:rFonts w:hint="eastAsia" w:ascii="宋体" w:hAnsi="宋体" w:eastAsia="宋体" w:cs="宋体"/>
          <w:b/>
          <w:bCs/>
          <w:sz w:val="21"/>
          <w:szCs w:val="21"/>
        </w:rPr>
      </w:pPr>
      <w:r>
        <w:rPr>
          <w:rFonts w:hint="eastAsia" w:ascii="宋体" w:hAnsi="宋体" w:eastAsia="宋体" w:cs="宋体"/>
          <w:b/>
          <w:bCs/>
          <w:sz w:val="21"/>
          <w:szCs w:val="21"/>
        </w:rPr>
        <w:t xml:space="preserve">3.5  顶管置换渐变处治效果分析        </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先模拟不处治状态下的路基沉降至2019年，然后将壳单元施加在模型中，模拟处治后20年内的路桥过渡段沉降情况。</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不同处治区域沉降控制效果</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rPr>
        <w:t>模拟运算得到处治20年后各分域的最终沉降</w:t>
      </w:r>
      <w:r>
        <w:rPr>
          <w:rFonts w:hint="eastAsia" w:ascii="宋体" w:hAnsi="宋体" w:eastAsia="宋体" w:cs="宋体"/>
          <w:sz w:val="21"/>
          <w:szCs w:val="21"/>
          <w:lang w:eastAsia="zh-CN"/>
        </w:rPr>
        <w:t>，</w:t>
      </w:r>
      <w:r>
        <w:rPr>
          <w:rFonts w:hint="eastAsia" w:ascii="宋体" w:hAnsi="宋体" w:eastAsia="宋体" w:cs="宋体"/>
          <w:sz w:val="21"/>
          <w:szCs w:val="21"/>
        </w:rPr>
        <w:t>如表3所示。从表</w:t>
      </w:r>
      <w:r>
        <w:rPr>
          <w:rFonts w:hint="eastAsia" w:ascii="宋体" w:hAnsi="宋体" w:eastAsia="宋体" w:cs="宋体"/>
          <w:sz w:val="21"/>
          <w:szCs w:val="21"/>
          <w:lang w:val="en-US" w:eastAsia="zh-CN"/>
        </w:rPr>
        <w:t>3</w:t>
      </w:r>
      <w:r>
        <w:rPr>
          <w:rFonts w:hint="eastAsia" w:ascii="宋体" w:hAnsi="宋体" w:eastAsia="宋体" w:cs="宋体"/>
          <w:sz w:val="21"/>
          <w:szCs w:val="21"/>
        </w:rPr>
        <w:t>可得</w:t>
      </w:r>
      <w:r>
        <w:rPr>
          <w:rFonts w:hint="eastAsia" w:ascii="宋体" w:hAnsi="宋体" w:eastAsia="宋体" w:cs="宋体"/>
          <w:sz w:val="21"/>
          <w:szCs w:val="21"/>
          <w:lang w:eastAsia="zh-CN"/>
        </w:rPr>
        <w:t>，</w:t>
      </w:r>
      <w:r>
        <w:rPr>
          <w:rFonts w:hint="eastAsia" w:ascii="宋体" w:hAnsi="宋体" w:eastAsia="宋体" w:cs="宋体"/>
          <w:sz w:val="21"/>
          <w:szCs w:val="21"/>
        </w:rPr>
        <w:t>在2019年开始顶管置换处治后，各区域沉降量明显减小，其中A处治区域控制沉降效果最好，相对沉降量降低百分比达到27.76，B、C、D处治区域沉降控制效果随顶管间距增大逐渐减弱。处治20年后顶管的沉降位移云图</w:t>
      </w:r>
      <w:r>
        <w:rPr>
          <w:rFonts w:hint="eastAsia" w:ascii="宋体" w:hAnsi="宋体" w:eastAsia="宋体" w:cs="宋体"/>
          <w:sz w:val="21"/>
          <w:szCs w:val="21"/>
          <w:lang w:eastAsia="zh-CN"/>
        </w:rPr>
        <w:t>如图</w:t>
      </w:r>
      <w:r>
        <w:rPr>
          <w:rFonts w:hint="eastAsia" w:ascii="宋体" w:hAnsi="宋体" w:eastAsia="宋体" w:cs="宋体"/>
          <w:sz w:val="21"/>
          <w:szCs w:val="21"/>
          <w:lang w:val="en-US" w:eastAsia="zh-CN"/>
        </w:rPr>
        <w:t>13所示。</w:t>
      </w:r>
      <w:r>
        <w:rPr>
          <w:rFonts w:hint="eastAsia" w:ascii="宋体" w:hAnsi="宋体" w:eastAsia="宋体" w:cs="宋体"/>
          <w:sz w:val="21"/>
          <w:szCs w:val="21"/>
        </w:rPr>
        <w:t>从图</w:t>
      </w:r>
      <w:r>
        <w:rPr>
          <w:rFonts w:hint="eastAsia" w:ascii="宋体" w:hAnsi="宋体" w:eastAsia="宋体" w:cs="宋体"/>
          <w:sz w:val="21"/>
          <w:szCs w:val="21"/>
          <w:lang w:val="en-US" w:eastAsia="zh-CN"/>
        </w:rPr>
        <w:t>13</w:t>
      </w:r>
      <w:r>
        <w:rPr>
          <w:rFonts w:hint="eastAsia" w:ascii="宋体" w:hAnsi="宋体" w:eastAsia="宋体" w:cs="宋体"/>
          <w:sz w:val="21"/>
          <w:szCs w:val="21"/>
        </w:rPr>
        <w:t>可以看出</w:t>
      </w:r>
      <w:r>
        <w:rPr>
          <w:rFonts w:hint="eastAsia" w:ascii="宋体" w:hAnsi="宋体" w:eastAsia="宋体" w:cs="宋体"/>
          <w:sz w:val="21"/>
          <w:szCs w:val="21"/>
          <w:lang w:eastAsia="zh-CN"/>
        </w:rPr>
        <w:t>，</w:t>
      </w:r>
      <w:r>
        <w:rPr>
          <w:rFonts w:hint="eastAsia" w:ascii="宋体" w:hAnsi="宋体" w:eastAsia="宋体" w:cs="宋体"/>
          <w:sz w:val="21"/>
          <w:szCs w:val="21"/>
        </w:rPr>
        <w:t>沉降主要发生在路面中心位置，顶管间距越小，沉降量越小，说明顶管越密集，路基减载越大，同时，顶管本身具有一定的强度，从路堤下穿过后，形成类似梁结构，很好的承担了上部荷载，变相提高了路基的刚度，</w:t>
      </w:r>
      <w:r>
        <w:rPr>
          <w:rFonts w:hint="eastAsia" w:ascii="宋体" w:hAnsi="宋体" w:eastAsia="宋体" w:cs="宋体"/>
          <w:sz w:val="21"/>
          <w:szCs w:val="21"/>
          <w:lang w:eastAsia="zh-CN"/>
        </w:rPr>
        <w:t>进而</w:t>
      </w:r>
      <w:r>
        <w:rPr>
          <w:rFonts w:hint="eastAsia" w:ascii="宋体" w:hAnsi="宋体" w:eastAsia="宋体" w:cs="宋体"/>
          <w:sz w:val="21"/>
          <w:szCs w:val="21"/>
        </w:rPr>
        <w:t>有效控制</w:t>
      </w:r>
      <w:r>
        <w:rPr>
          <w:rFonts w:hint="eastAsia" w:ascii="宋体" w:hAnsi="宋体" w:eastAsia="宋体" w:cs="宋体"/>
          <w:sz w:val="21"/>
          <w:szCs w:val="21"/>
          <w:lang w:eastAsia="zh-CN"/>
        </w:rPr>
        <w:t>了</w:t>
      </w:r>
      <w:r>
        <w:rPr>
          <w:rFonts w:hint="eastAsia" w:ascii="宋体" w:hAnsi="宋体" w:eastAsia="宋体" w:cs="宋体"/>
          <w:sz w:val="21"/>
          <w:szCs w:val="21"/>
        </w:rPr>
        <w:t>沉降。</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center"/>
        <w:textAlignment w:val="auto"/>
        <w:outlineLvl w:val="9"/>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color w:val="000000" w:themeColor="text1"/>
          <w:sz w:val="18"/>
          <w:szCs w:val="18"/>
          <w14:textFill>
            <w14:solidFill>
              <w14:schemeClr w14:val="tx1"/>
            </w14:solidFill>
          </w14:textFill>
        </w:rPr>
        <w:t>表3</w:t>
      </w:r>
      <w:r>
        <w:rPr>
          <w:rFonts w:hint="eastAsia" w:ascii="宋体" w:hAnsi="宋体" w:eastAsia="宋体" w:cs="宋体"/>
          <w:b/>
          <w:bCs/>
          <w:color w:val="000000" w:themeColor="text1"/>
          <w:sz w:val="18"/>
          <w:szCs w:val="18"/>
          <w:lang w:val="en-US" w:eastAsia="zh-CN"/>
          <w14:textFill>
            <w14:solidFill>
              <w14:schemeClr w14:val="tx1"/>
            </w14:solidFill>
          </w14:textFill>
        </w:rPr>
        <w:t xml:space="preserve">  </w:t>
      </w:r>
      <w:r>
        <w:rPr>
          <w:rFonts w:hint="eastAsia" w:ascii="宋体" w:hAnsi="宋体" w:eastAsia="宋体" w:cs="宋体"/>
          <w:b/>
          <w:bCs/>
          <w:color w:val="000000" w:themeColor="text1"/>
          <w:sz w:val="18"/>
          <w:szCs w:val="18"/>
          <w14:textFill>
            <w14:solidFill>
              <w14:schemeClr w14:val="tx1"/>
            </w14:solidFill>
          </w14:textFill>
        </w:rPr>
        <w:t>处治20年后不同区域最终沉降对比</w:t>
      </w:r>
    </w:p>
    <w:p>
      <w:pPr>
        <w:pStyle w:val="3"/>
        <w:spacing w:after="62" w:afterLines="20" w:line="280" w:lineRule="exact"/>
        <w:ind w:firstLine="0"/>
        <w:jc w:val="center"/>
        <w:rPr>
          <w:rFonts w:ascii="Times New Roman" w:hAnsi="Times New Roman" w:eastAsia="宋体" w:cs="Times New Roman"/>
          <w:b/>
          <w:bCs/>
          <w:color w:val="000000" w:themeColor="text1"/>
          <w:sz w:val="21"/>
          <w:szCs w:val="21"/>
          <w14:textFill>
            <w14:solidFill>
              <w14:schemeClr w14:val="tx1"/>
            </w14:solidFill>
          </w14:textFill>
        </w:rPr>
      </w:pPr>
      <w:r>
        <w:rPr>
          <w:rFonts w:ascii="Times New Roman" w:hAnsi="Times New Roman" w:eastAsia="宋体" w:cs="Times New Roman"/>
          <w:b/>
          <w:bCs/>
          <w:color w:val="000000" w:themeColor="text1"/>
          <w:sz w:val="18"/>
          <w:szCs w:val="18"/>
          <w14:textFill>
            <w14:solidFill>
              <w14:schemeClr w14:val="tx1"/>
            </w14:solidFill>
          </w14:textFill>
        </w:rPr>
        <w:t>Table 3</w:t>
      </w:r>
      <w:r>
        <w:rPr>
          <w:rFonts w:hint="eastAsia" w:ascii="Times New Roman" w:hAnsi="Times New Roman" w:eastAsia="宋体" w:cs="Times New Roman"/>
          <w:b/>
          <w:bCs/>
          <w:color w:val="000000" w:themeColor="text1"/>
          <w:sz w:val="18"/>
          <w:szCs w:val="18"/>
          <w:lang w:val="en-US" w:eastAsia="zh-CN"/>
          <w14:textFill>
            <w14:solidFill>
              <w14:schemeClr w14:val="tx1"/>
            </w14:solidFill>
          </w14:textFill>
        </w:rPr>
        <w:t xml:space="preserve">  </w:t>
      </w:r>
      <w:r>
        <w:rPr>
          <w:rFonts w:ascii="Times New Roman" w:hAnsi="Times New Roman" w:eastAsia="宋体" w:cs="Times New Roman"/>
          <w:b/>
          <w:bCs/>
          <w:color w:val="000000" w:themeColor="text1"/>
          <w:sz w:val="18"/>
          <w:szCs w:val="18"/>
          <w14:textFill>
            <w14:solidFill>
              <w14:schemeClr w14:val="tx1"/>
            </w14:solidFill>
          </w14:textFill>
        </w:rPr>
        <w:t xml:space="preserve">Comparison of </w:t>
      </w:r>
      <w:r>
        <w:rPr>
          <w:rFonts w:hint="eastAsia" w:ascii="Times New Roman" w:hAnsi="Times New Roman" w:eastAsia="宋体" w:cs="Times New Roman"/>
          <w:b/>
          <w:bCs/>
          <w:color w:val="000000" w:themeColor="text1"/>
          <w:sz w:val="18"/>
          <w:szCs w:val="18"/>
          <w14:textFill>
            <w14:solidFill>
              <w14:schemeClr w14:val="tx1"/>
            </w14:solidFill>
          </w14:textFill>
        </w:rPr>
        <w:t>f</w:t>
      </w:r>
      <w:r>
        <w:rPr>
          <w:rFonts w:ascii="Times New Roman" w:hAnsi="Times New Roman" w:eastAsia="宋体" w:cs="Times New Roman"/>
          <w:b/>
          <w:bCs/>
          <w:color w:val="000000" w:themeColor="text1"/>
          <w:sz w:val="18"/>
          <w:szCs w:val="18"/>
          <w14:textFill>
            <w14:solidFill>
              <w14:schemeClr w14:val="tx1"/>
            </w14:solidFill>
          </w14:textFill>
        </w:rPr>
        <w:t xml:space="preserve">inal </w:t>
      </w:r>
      <w:r>
        <w:rPr>
          <w:rFonts w:hint="eastAsia" w:ascii="Times New Roman" w:hAnsi="Times New Roman" w:eastAsia="宋体" w:cs="Times New Roman"/>
          <w:b/>
          <w:bCs/>
          <w:color w:val="000000" w:themeColor="text1"/>
          <w:sz w:val="18"/>
          <w:szCs w:val="18"/>
          <w14:textFill>
            <w14:solidFill>
              <w14:schemeClr w14:val="tx1"/>
            </w14:solidFill>
          </w14:textFill>
        </w:rPr>
        <w:t>s</w:t>
      </w:r>
      <w:r>
        <w:rPr>
          <w:rFonts w:ascii="Times New Roman" w:hAnsi="Times New Roman" w:eastAsia="方正书宋简体" w:cs="Times New Roman"/>
          <w:b/>
          <w:bCs/>
          <w:sz w:val="18"/>
          <w:szCs w:val="18"/>
        </w:rPr>
        <w:t xml:space="preserve">ettlement </w:t>
      </w:r>
      <w:r>
        <w:rPr>
          <w:rFonts w:ascii="Times New Roman" w:hAnsi="Times New Roman" w:eastAsia="宋体" w:cs="Times New Roman"/>
          <w:b/>
          <w:bCs/>
          <w:color w:val="000000" w:themeColor="text1"/>
          <w:sz w:val="18"/>
          <w:szCs w:val="18"/>
          <w14:textFill>
            <w14:solidFill>
              <w14:schemeClr w14:val="tx1"/>
            </w14:solidFill>
          </w14:textFill>
        </w:rPr>
        <w:t xml:space="preserve">in </w:t>
      </w:r>
      <w:r>
        <w:rPr>
          <w:rFonts w:hint="eastAsia" w:ascii="Times New Roman" w:hAnsi="Times New Roman" w:eastAsia="宋体" w:cs="Times New Roman"/>
          <w:b/>
          <w:bCs/>
          <w:color w:val="000000" w:themeColor="text1"/>
          <w:sz w:val="18"/>
          <w:szCs w:val="18"/>
          <w14:textFill>
            <w14:solidFill>
              <w14:schemeClr w14:val="tx1"/>
            </w14:solidFill>
          </w14:textFill>
        </w:rPr>
        <w:t>d</w:t>
      </w:r>
      <w:r>
        <w:rPr>
          <w:rFonts w:ascii="Times New Roman" w:hAnsi="Times New Roman" w:eastAsia="宋体" w:cs="Times New Roman"/>
          <w:b/>
          <w:bCs/>
          <w:color w:val="000000" w:themeColor="text1"/>
          <w:sz w:val="18"/>
          <w:szCs w:val="18"/>
          <w14:textFill>
            <w14:solidFill>
              <w14:schemeClr w14:val="tx1"/>
            </w14:solidFill>
          </w14:textFill>
        </w:rPr>
        <w:t xml:space="preserve">ifferent </w:t>
      </w:r>
      <w:r>
        <w:rPr>
          <w:rFonts w:hint="eastAsia" w:ascii="Times New Roman" w:hAnsi="Times New Roman" w:eastAsia="宋体" w:cs="Times New Roman"/>
          <w:b/>
          <w:bCs/>
          <w:color w:val="000000" w:themeColor="text1"/>
          <w:sz w:val="18"/>
          <w:szCs w:val="18"/>
          <w14:textFill>
            <w14:solidFill>
              <w14:schemeClr w14:val="tx1"/>
            </w14:solidFill>
          </w14:textFill>
        </w:rPr>
        <w:t>a</w:t>
      </w:r>
      <w:r>
        <w:rPr>
          <w:rFonts w:ascii="Times New Roman" w:hAnsi="Times New Roman" w:eastAsia="宋体" w:cs="Times New Roman"/>
          <w:b/>
          <w:bCs/>
          <w:color w:val="000000" w:themeColor="text1"/>
          <w:sz w:val="18"/>
          <w:szCs w:val="18"/>
          <w14:textFill>
            <w14:solidFill>
              <w14:schemeClr w14:val="tx1"/>
            </w14:solidFill>
          </w14:textFill>
        </w:rPr>
        <w:t xml:space="preserve">reas after 20 </w:t>
      </w:r>
      <w:r>
        <w:rPr>
          <w:rFonts w:hint="eastAsia" w:ascii="Times New Roman" w:hAnsi="Times New Roman" w:eastAsia="宋体" w:cs="Times New Roman"/>
          <w:b/>
          <w:bCs/>
          <w:color w:val="000000" w:themeColor="text1"/>
          <w:sz w:val="18"/>
          <w:szCs w:val="18"/>
          <w14:textFill>
            <w14:solidFill>
              <w14:schemeClr w14:val="tx1"/>
            </w14:solidFill>
          </w14:textFill>
        </w:rPr>
        <w:t>y</w:t>
      </w:r>
      <w:r>
        <w:rPr>
          <w:rFonts w:ascii="Times New Roman" w:hAnsi="Times New Roman" w:eastAsia="宋体" w:cs="Times New Roman"/>
          <w:b/>
          <w:bCs/>
          <w:color w:val="000000" w:themeColor="text1"/>
          <w:sz w:val="18"/>
          <w:szCs w:val="18"/>
          <w14:textFill>
            <w14:solidFill>
              <w14:schemeClr w14:val="tx1"/>
            </w14:solidFill>
          </w14:textFill>
        </w:rPr>
        <w:t xml:space="preserve">ears of </w:t>
      </w:r>
      <w:r>
        <w:rPr>
          <w:rFonts w:hint="eastAsia" w:ascii="Times New Roman" w:hAnsi="Times New Roman" w:eastAsia="宋体" w:cs="Times New Roman"/>
          <w:b/>
          <w:bCs/>
          <w:color w:val="000000" w:themeColor="text1"/>
          <w:sz w:val="18"/>
          <w:szCs w:val="18"/>
          <w14:textFill>
            <w14:solidFill>
              <w14:schemeClr w14:val="tx1"/>
            </w14:solidFill>
          </w14:textFill>
        </w:rPr>
        <w:t>t</w:t>
      </w:r>
      <w:r>
        <w:rPr>
          <w:rFonts w:ascii="Times New Roman" w:hAnsi="Times New Roman" w:eastAsia="宋体" w:cs="Times New Roman"/>
          <w:b/>
          <w:bCs/>
          <w:color w:val="000000" w:themeColor="text1"/>
          <w:sz w:val="18"/>
          <w:szCs w:val="18"/>
          <w14:textFill>
            <w14:solidFill>
              <w14:schemeClr w14:val="tx1"/>
            </w14:solidFill>
          </w14:textFill>
        </w:rPr>
        <w:t>reatment</w:t>
      </w:r>
    </w:p>
    <w:tbl>
      <w:tblPr>
        <w:tblStyle w:val="9"/>
        <w:tblW w:w="8580"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718"/>
        <w:gridCol w:w="1525"/>
        <w:gridCol w:w="1114"/>
        <w:gridCol w:w="1083"/>
        <w:gridCol w:w="1026"/>
        <w:gridCol w:w="1114"/>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0" w:type="dxa"/>
            <w:bottom w:w="0" w:type="dxa"/>
            <w:right w:w="0" w:type="dxa"/>
          </w:tblCellMar>
        </w:tblPrEx>
        <w:trPr>
          <w:trHeight w:val="448" w:hRule="atLeast"/>
          <w:jc w:val="center"/>
        </w:trPr>
        <w:tc>
          <w:tcPr>
            <w:tcW w:w="2718" w:type="dxa"/>
            <w:tcBorders>
              <w:top w:val="single" w:color="000000" w:sz="12" w:space="0"/>
              <w:bottom w:val="single" w:color="000000" w:sz="4" w:space="0"/>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沉降值</w:t>
            </w:r>
          </w:p>
        </w:tc>
        <w:tc>
          <w:tcPr>
            <w:tcW w:w="1525" w:type="dxa"/>
            <w:tcBorders>
              <w:top w:val="single" w:color="000000" w:sz="12" w:space="0"/>
              <w:bottom w:val="single" w:color="000000" w:sz="4" w:space="0"/>
            </w:tcBorders>
            <w:shd w:val="clear" w:color="auto" w:fill="auto"/>
            <w:tcMar>
              <w:top w:w="12" w:type="dxa"/>
              <w:left w:w="12" w:type="dxa"/>
              <w:right w:w="12" w:type="dxa"/>
            </w:tcMar>
            <w:vAlign w:val="cente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监测点</w:t>
            </w:r>
          </w:p>
        </w:tc>
        <w:tc>
          <w:tcPr>
            <w:tcW w:w="1114" w:type="dxa"/>
            <w:tcBorders>
              <w:top w:val="single" w:color="000000" w:sz="12" w:space="0"/>
              <w:bottom w:val="single" w:color="000000" w:sz="4" w:space="0"/>
            </w:tcBorders>
            <w:shd w:val="clear" w:color="auto" w:fill="auto"/>
            <w:tcMar>
              <w:top w:w="12" w:type="dxa"/>
              <w:left w:w="12" w:type="dxa"/>
              <w:right w:w="12" w:type="dxa"/>
            </w:tcMa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A区</w:t>
            </w:r>
          </w:p>
        </w:tc>
        <w:tc>
          <w:tcPr>
            <w:tcW w:w="1083" w:type="dxa"/>
            <w:tcBorders>
              <w:top w:val="single" w:color="000000" w:sz="12" w:space="0"/>
              <w:bottom w:val="single" w:color="000000" w:sz="4" w:space="0"/>
            </w:tcBorders>
            <w:shd w:val="clear" w:color="auto" w:fill="auto"/>
            <w:tcMar>
              <w:top w:w="12" w:type="dxa"/>
              <w:left w:w="12" w:type="dxa"/>
              <w:right w:w="12" w:type="dxa"/>
            </w:tcMa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B区</w:t>
            </w:r>
          </w:p>
        </w:tc>
        <w:tc>
          <w:tcPr>
            <w:tcW w:w="1026" w:type="dxa"/>
            <w:tcBorders>
              <w:top w:val="single" w:color="000000" w:sz="12" w:space="0"/>
              <w:bottom w:val="single" w:color="000000" w:sz="4" w:space="0"/>
            </w:tcBorders>
            <w:shd w:val="clear" w:color="auto" w:fill="auto"/>
            <w:tcMar>
              <w:top w:w="12" w:type="dxa"/>
              <w:left w:w="12" w:type="dxa"/>
              <w:right w:w="12" w:type="dxa"/>
            </w:tcMa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C区</w:t>
            </w:r>
          </w:p>
        </w:tc>
        <w:tc>
          <w:tcPr>
            <w:tcW w:w="1114" w:type="dxa"/>
            <w:tcBorders>
              <w:top w:val="single" w:color="000000" w:sz="12" w:space="0"/>
              <w:bottom w:val="single" w:color="000000" w:sz="4" w:space="0"/>
            </w:tcBorders>
            <w:shd w:val="clear" w:color="auto" w:fill="auto"/>
            <w:tcMar>
              <w:top w:w="12" w:type="dxa"/>
              <w:left w:w="12" w:type="dxa"/>
              <w:right w:w="12" w:type="dxa"/>
            </w:tcMa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D区</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0" w:type="dxa"/>
            <w:bottom w:w="0" w:type="dxa"/>
            <w:right w:w="0" w:type="dxa"/>
          </w:tblCellMar>
        </w:tblPrEx>
        <w:trPr>
          <w:trHeight w:val="390" w:hRule="atLeast"/>
          <w:jc w:val="center"/>
        </w:trPr>
        <w:tc>
          <w:tcPr>
            <w:tcW w:w="2718" w:type="dxa"/>
            <w:vMerge w:val="restart"/>
            <w:tcBorders>
              <w:top w:val="single" w:color="000000"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不处治的沉降量/m</w:t>
            </w:r>
          </w:p>
        </w:tc>
        <w:tc>
          <w:tcPr>
            <w:tcW w:w="1525" w:type="dxa"/>
            <w:tcBorders>
              <w:top w:val="single" w:color="000000" w:sz="4" w:space="0"/>
              <w:tl2br w:val="nil"/>
              <w:tr2bl w:val="nil"/>
            </w:tcBorders>
            <w:shd w:val="clear" w:color="auto" w:fill="auto"/>
            <w:tcMar>
              <w:top w:w="12" w:type="dxa"/>
              <w:left w:w="12" w:type="dxa"/>
              <w:right w:w="12" w:type="dxa"/>
            </w:tcMar>
            <w:vAlign w:val="cente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路面中心</w:t>
            </w:r>
          </w:p>
        </w:tc>
        <w:tc>
          <w:tcPr>
            <w:tcW w:w="1114" w:type="dxa"/>
            <w:tcBorders>
              <w:top w:val="single" w:color="000000"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eastAsia="宋体" w:cs="Times New Roman"/>
                <w:color w:val="000000" w:themeColor="text1"/>
                <w:sz w:val="18"/>
                <w:szCs w:val="18"/>
                <w14:textFill>
                  <w14:solidFill>
                    <w14:schemeClr w14:val="tx1"/>
                  </w14:solidFill>
                </w14:textFill>
              </w:rPr>
              <w:t>0</w:t>
            </w:r>
            <w:r>
              <w:rPr>
                <w:rFonts w:ascii="Times New Roman" w:hAnsi="Times New Roman" w:eastAsia="宋体" w:cs="Times New Roman"/>
                <w:color w:val="000000" w:themeColor="text1"/>
                <w:sz w:val="18"/>
                <w:szCs w:val="18"/>
                <w14:textFill>
                  <w14:solidFill>
                    <w14:schemeClr w14:val="tx1"/>
                  </w14:solidFill>
                </w14:textFill>
              </w:rPr>
              <w:t>.544</w:t>
            </w:r>
          </w:p>
        </w:tc>
        <w:tc>
          <w:tcPr>
            <w:tcW w:w="1083" w:type="dxa"/>
            <w:tcBorders>
              <w:top w:val="single" w:color="000000"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eastAsia="宋体" w:cs="Times New Roman"/>
                <w:color w:val="000000" w:themeColor="text1"/>
                <w:sz w:val="18"/>
                <w:szCs w:val="18"/>
                <w14:textFill>
                  <w14:solidFill>
                    <w14:schemeClr w14:val="tx1"/>
                  </w14:solidFill>
                </w14:textFill>
              </w:rPr>
              <w:t>0</w:t>
            </w:r>
            <w:r>
              <w:rPr>
                <w:rFonts w:ascii="Times New Roman" w:hAnsi="Times New Roman" w:eastAsia="宋体" w:cs="Times New Roman"/>
                <w:color w:val="000000" w:themeColor="text1"/>
                <w:sz w:val="18"/>
                <w:szCs w:val="18"/>
                <w14:textFill>
                  <w14:solidFill>
                    <w14:schemeClr w14:val="tx1"/>
                  </w14:solidFill>
                </w14:textFill>
              </w:rPr>
              <w:t>.544</w:t>
            </w:r>
          </w:p>
        </w:tc>
        <w:tc>
          <w:tcPr>
            <w:tcW w:w="1026" w:type="dxa"/>
            <w:tcBorders>
              <w:top w:val="single" w:color="000000"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eastAsia="宋体" w:cs="Times New Roman"/>
                <w:color w:val="000000" w:themeColor="text1"/>
                <w:sz w:val="18"/>
                <w:szCs w:val="18"/>
                <w14:textFill>
                  <w14:solidFill>
                    <w14:schemeClr w14:val="tx1"/>
                  </w14:solidFill>
                </w14:textFill>
              </w:rPr>
              <w:t>0</w:t>
            </w:r>
            <w:r>
              <w:rPr>
                <w:rFonts w:ascii="Times New Roman" w:hAnsi="Times New Roman" w:eastAsia="宋体" w:cs="Times New Roman"/>
                <w:color w:val="000000" w:themeColor="text1"/>
                <w:sz w:val="18"/>
                <w:szCs w:val="18"/>
                <w14:textFill>
                  <w14:solidFill>
                    <w14:schemeClr w14:val="tx1"/>
                  </w14:solidFill>
                </w14:textFill>
              </w:rPr>
              <w:t>.544</w:t>
            </w:r>
          </w:p>
        </w:tc>
        <w:tc>
          <w:tcPr>
            <w:tcW w:w="1114" w:type="dxa"/>
            <w:tcBorders>
              <w:top w:val="single" w:color="000000"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sz w:val="18"/>
                <w:szCs w:val="18"/>
                <w14:textFill>
                  <w14:solidFill>
                    <w14:schemeClr w14:val="tx1"/>
                  </w14:solidFill>
                </w14:textFill>
              </w:rPr>
              <w:t>0.544</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jc w:val="center"/>
        </w:trPr>
        <w:tc>
          <w:tcPr>
            <w:tcW w:w="2718" w:type="dxa"/>
            <w:vMerge w:val="continue"/>
            <w:tcBorders>
              <w:bottom w:val="single" w:color="auto" w:sz="4" w:space="0"/>
              <w:tl2br w:val="nil"/>
              <w:tr2bl w:val="nil"/>
            </w:tcBorders>
            <w:shd w:val="clear" w:color="auto" w:fill="auto"/>
            <w:tcMar>
              <w:top w:w="12" w:type="dxa"/>
              <w:left w:w="12" w:type="dxa"/>
              <w:right w:w="12" w:type="dxa"/>
            </w:tcMar>
            <w:vAlign w:val="center"/>
          </w:tcPr>
          <w:p>
            <w:pPr>
              <w:jc w:val="center"/>
              <w:rPr>
                <w:rFonts w:ascii="Times New Roman" w:hAnsi="Times New Roman" w:eastAsia="宋体" w:cs="Times New Roman"/>
                <w:color w:val="000000" w:themeColor="text1"/>
                <w:sz w:val="18"/>
                <w:szCs w:val="18"/>
                <w14:textFill>
                  <w14:solidFill>
                    <w14:schemeClr w14:val="tx1"/>
                  </w14:solidFill>
                </w14:textFill>
              </w:rPr>
            </w:pPr>
          </w:p>
        </w:tc>
        <w:tc>
          <w:tcPr>
            <w:tcW w:w="1525"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路肩</w:t>
            </w:r>
          </w:p>
        </w:tc>
        <w:tc>
          <w:tcPr>
            <w:tcW w:w="1114"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eastAsia="宋体" w:cs="Times New Roman"/>
                <w:color w:val="000000" w:themeColor="text1"/>
                <w:sz w:val="18"/>
                <w:szCs w:val="18"/>
                <w14:textFill>
                  <w14:solidFill>
                    <w14:schemeClr w14:val="tx1"/>
                  </w14:solidFill>
                </w14:textFill>
              </w:rPr>
              <w:t>0</w:t>
            </w:r>
            <w:r>
              <w:rPr>
                <w:rFonts w:ascii="Times New Roman" w:hAnsi="Times New Roman" w:eastAsia="宋体" w:cs="Times New Roman"/>
                <w:color w:val="000000" w:themeColor="text1"/>
                <w:sz w:val="18"/>
                <w:szCs w:val="18"/>
                <w14:textFill>
                  <w14:solidFill>
                    <w14:schemeClr w14:val="tx1"/>
                  </w14:solidFill>
                </w14:textFill>
              </w:rPr>
              <w:t>.422</w:t>
            </w:r>
          </w:p>
        </w:tc>
        <w:tc>
          <w:tcPr>
            <w:tcW w:w="1083"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eastAsia="宋体" w:cs="Times New Roman"/>
                <w:color w:val="000000" w:themeColor="text1"/>
                <w:sz w:val="18"/>
                <w:szCs w:val="18"/>
                <w14:textFill>
                  <w14:solidFill>
                    <w14:schemeClr w14:val="tx1"/>
                  </w14:solidFill>
                </w14:textFill>
              </w:rPr>
              <w:t>0</w:t>
            </w:r>
            <w:r>
              <w:rPr>
                <w:rFonts w:ascii="Times New Roman" w:hAnsi="Times New Roman" w:eastAsia="宋体" w:cs="Times New Roman"/>
                <w:color w:val="000000" w:themeColor="text1"/>
                <w:sz w:val="18"/>
                <w:szCs w:val="18"/>
                <w14:textFill>
                  <w14:solidFill>
                    <w14:schemeClr w14:val="tx1"/>
                  </w14:solidFill>
                </w14:textFill>
              </w:rPr>
              <w:t>.422</w:t>
            </w:r>
          </w:p>
        </w:tc>
        <w:tc>
          <w:tcPr>
            <w:tcW w:w="1026"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eastAsia="宋体" w:cs="Times New Roman"/>
                <w:color w:val="000000" w:themeColor="text1"/>
                <w:sz w:val="18"/>
                <w:szCs w:val="18"/>
                <w14:textFill>
                  <w14:solidFill>
                    <w14:schemeClr w14:val="tx1"/>
                  </w14:solidFill>
                </w14:textFill>
              </w:rPr>
              <w:t>0</w:t>
            </w:r>
            <w:r>
              <w:rPr>
                <w:rFonts w:ascii="Times New Roman" w:hAnsi="Times New Roman" w:eastAsia="宋体" w:cs="Times New Roman"/>
                <w:color w:val="000000" w:themeColor="text1"/>
                <w:sz w:val="18"/>
                <w:szCs w:val="18"/>
                <w14:textFill>
                  <w14:solidFill>
                    <w14:schemeClr w14:val="tx1"/>
                  </w14:solidFill>
                </w14:textFill>
              </w:rPr>
              <w:t>.422</w:t>
            </w:r>
          </w:p>
        </w:tc>
        <w:tc>
          <w:tcPr>
            <w:tcW w:w="1114"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hint="eastAsia" w:ascii="Times New Roman" w:hAnsi="Times New Roman" w:eastAsia="宋体" w:cs="Times New Roman"/>
                <w:color w:val="000000" w:themeColor="text1"/>
                <w:sz w:val="18"/>
                <w:szCs w:val="18"/>
                <w14:textFill>
                  <w14:solidFill>
                    <w14:schemeClr w14:val="tx1"/>
                  </w14:solidFill>
                </w14:textFill>
              </w:rPr>
              <w:t>0</w:t>
            </w:r>
            <w:r>
              <w:rPr>
                <w:rFonts w:ascii="Times New Roman" w:hAnsi="Times New Roman" w:eastAsia="宋体" w:cs="Times New Roman"/>
                <w:color w:val="000000" w:themeColor="text1"/>
                <w:sz w:val="18"/>
                <w:szCs w:val="18"/>
                <w14:textFill>
                  <w14:solidFill>
                    <w14:schemeClr w14:val="tx1"/>
                  </w14:solidFill>
                </w14:textFill>
              </w:rPr>
              <w:t>.422</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jc w:val="center"/>
        </w:trPr>
        <w:tc>
          <w:tcPr>
            <w:tcW w:w="2718" w:type="dxa"/>
            <w:vMerge w:val="restart"/>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处治后的沉降量/m</w:t>
            </w:r>
          </w:p>
        </w:tc>
        <w:tc>
          <w:tcPr>
            <w:tcW w:w="1525"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路面中心</w:t>
            </w:r>
          </w:p>
        </w:tc>
        <w:tc>
          <w:tcPr>
            <w:tcW w:w="1114"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 xml:space="preserve">0.393 </w:t>
            </w:r>
          </w:p>
        </w:tc>
        <w:tc>
          <w:tcPr>
            <w:tcW w:w="1083"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 xml:space="preserve">0.448 </w:t>
            </w:r>
          </w:p>
        </w:tc>
        <w:tc>
          <w:tcPr>
            <w:tcW w:w="1026"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 xml:space="preserve">0.476 </w:t>
            </w:r>
          </w:p>
        </w:tc>
        <w:tc>
          <w:tcPr>
            <w:tcW w:w="1114"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 xml:space="preserve">0.500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jc w:val="center"/>
        </w:trPr>
        <w:tc>
          <w:tcPr>
            <w:tcW w:w="2718" w:type="dxa"/>
            <w:vMerge w:val="continue"/>
            <w:tcBorders>
              <w:bottom w:val="single" w:color="auto" w:sz="4" w:space="0"/>
              <w:tl2br w:val="nil"/>
              <w:tr2bl w:val="nil"/>
            </w:tcBorders>
            <w:shd w:val="clear" w:color="auto" w:fill="auto"/>
            <w:tcMar>
              <w:top w:w="12" w:type="dxa"/>
              <w:left w:w="12" w:type="dxa"/>
              <w:right w:w="12" w:type="dxa"/>
            </w:tcMar>
            <w:vAlign w:val="center"/>
          </w:tcPr>
          <w:p>
            <w:pPr>
              <w:jc w:val="center"/>
              <w:rPr>
                <w:rFonts w:ascii="Times New Roman" w:hAnsi="Times New Roman" w:eastAsia="宋体" w:cs="Times New Roman"/>
                <w:color w:val="000000" w:themeColor="text1"/>
                <w:sz w:val="18"/>
                <w:szCs w:val="18"/>
                <w14:textFill>
                  <w14:solidFill>
                    <w14:schemeClr w14:val="tx1"/>
                  </w14:solidFill>
                </w14:textFill>
              </w:rPr>
            </w:pPr>
          </w:p>
        </w:tc>
        <w:tc>
          <w:tcPr>
            <w:tcW w:w="1525"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路肩</w:t>
            </w:r>
          </w:p>
        </w:tc>
        <w:tc>
          <w:tcPr>
            <w:tcW w:w="1114"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 xml:space="preserve">0.295 </w:t>
            </w:r>
          </w:p>
        </w:tc>
        <w:tc>
          <w:tcPr>
            <w:tcW w:w="1083"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0.334</w:t>
            </w:r>
            <w:r>
              <w:rPr>
                <w:rFonts w:ascii="Times New Roman" w:hAnsi="Times New Roman" w:eastAsia="宋体" w:cs="Times New Roman"/>
                <w:color w:val="000000" w:themeColor="text1"/>
                <w:kern w:val="0"/>
                <w:sz w:val="18"/>
                <w:szCs w:val="18"/>
                <w:lang w:bidi="ar"/>
                <w14:textFill>
                  <w14:solidFill>
                    <w14:schemeClr w14:val="tx1"/>
                  </w14:solidFill>
                </w14:textFill>
              </w:rPr>
              <w:t xml:space="preserve"> </w:t>
            </w:r>
          </w:p>
        </w:tc>
        <w:tc>
          <w:tcPr>
            <w:tcW w:w="1026"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0.349</w:t>
            </w:r>
          </w:p>
        </w:tc>
        <w:tc>
          <w:tcPr>
            <w:tcW w:w="1114" w:type="dxa"/>
            <w:tcBorders>
              <w:bottom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0.361</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jc w:val="center"/>
        </w:trPr>
        <w:tc>
          <w:tcPr>
            <w:tcW w:w="2718" w:type="dxa"/>
            <w:vMerge w:val="restart"/>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处治后的</w:t>
            </w:r>
            <w:r>
              <w:rPr>
                <w:rFonts w:hint="eastAsia" w:ascii="Times New Roman" w:hAnsi="Times New Roman" w:eastAsia="宋体" w:cs="Times New Roman"/>
                <w:color w:val="000000" w:themeColor="text1"/>
                <w:kern w:val="0"/>
                <w:sz w:val="18"/>
                <w:szCs w:val="18"/>
                <w:lang w:bidi="ar"/>
                <w14:textFill>
                  <w14:solidFill>
                    <w14:schemeClr w14:val="tx1"/>
                  </w14:solidFill>
                </w14:textFill>
              </w:rPr>
              <w:t>相对</w:t>
            </w:r>
            <w:r>
              <w:rPr>
                <w:rFonts w:ascii="Times New Roman" w:hAnsi="Times New Roman" w:eastAsia="宋体" w:cs="Times New Roman"/>
                <w:color w:val="000000" w:themeColor="text1"/>
                <w:kern w:val="0"/>
                <w:sz w:val="18"/>
                <w:szCs w:val="18"/>
                <w:lang w:bidi="ar"/>
                <w14:textFill>
                  <w14:solidFill>
                    <w14:schemeClr w14:val="tx1"/>
                  </w14:solidFill>
                </w14:textFill>
              </w:rPr>
              <w:t>沉降降低百分比/%</w:t>
            </w:r>
          </w:p>
        </w:tc>
        <w:tc>
          <w:tcPr>
            <w:tcW w:w="1525"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路面中心</w:t>
            </w:r>
          </w:p>
        </w:tc>
        <w:tc>
          <w:tcPr>
            <w:tcW w:w="1114"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bookmarkStart w:id="4" w:name="_Hlk54010720"/>
            <w:r>
              <w:rPr>
                <w:rFonts w:ascii="Times New Roman" w:hAnsi="Times New Roman" w:cs="Times New Roman"/>
                <w:color w:val="000000" w:themeColor="text1"/>
                <w:sz w:val="18"/>
                <w:szCs w:val="18"/>
                <w14:textFill>
                  <w14:solidFill>
                    <w14:schemeClr w14:val="tx1"/>
                  </w14:solidFill>
                </w14:textFill>
              </w:rPr>
              <w:t>27.76</w:t>
            </w:r>
            <w:bookmarkEnd w:id="4"/>
          </w:p>
        </w:tc>
        <w:tc>
          <w:tcPr>
            <w:tcW w:w="1083"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17.65</w:t>
            </w:r>
          </w:p>
        </w:tc>
        <w:tc>
          <w:tcPr>
            <w:tcW w:w="1026"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12.50</w:t>
            </w:r>
          </w:p>
        </w:tc>
        <w:tc>
          <w:tcPr>
            <w:tcW w:w="1114" w:type="dxa"/>
            <w:tcBorders>
              <w:top w:val="single" w:color="auto" w:sz="4"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8.09</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0" w:type="dxa"/>
            <w:bottom w:w="0" w:type="dxa"/>
            <w:right w:w="0" w:type="dxa"/>
          </w:tblCellMar>
        </w:tblPrEx>
        <w:trPr>
          <w:trHeight w:val="448" w:hRule="atLeast"/>
          <w:jc w:val="center"/>
        </w:trPr>
        <w:tc>
          <w:tcPr>
            <w:tcW w:w="2718" w:type="dxa"/>
            <w:vMerge w:val="continue"/>
            <w:tcBorders>
              <w:bottom w:val="single" w:color="000000" w:sz="12" w:space="0"/>
              <w:tl2br w:val="nil"/>
              <w:tr2bl w:val="nil"/>
            </w:tcBorders>
            <w:shd w:val="clear" w:color="auto" w:fill="auto"/>
            <w:tcMar>
              <w:top w:w="12" w:type="dxa"/>
              <w:left w:w="12" w:type="dxa"/>
              <w:right w:w="12" w:type="dxa"/>
            </w:tcMar>
            <w:vAlign w:val="center"/>
          </w:tcPr>
          <w:p>
            <w:pPr>
              <w:jc w:val="center"/>
              <w:rPr>
                <w:rFonts w:ascii="Times New Roman" w:hAnsi="Times New Roman" w:eastAsia="宋体" w:cs="Times New Roman"/>
                <w:color w:val="000000" w:themeColor="text1"/>
                <w:sz w:val="18"/>
                <w:szCs w:val="18"/>
                <w14:textFill>
                  <w14:solidFill>
                    <w14:schemeClr w14:val="tx1"/>
                  </w14:solidFill>
                </w14:textFill>
              </w:rPr>
            </w:pPr>
          </w:p>
        </w:tc>
        <w:tc>
          <w:tcPr>
            <w:tcW w:w="1525" w:type="dxa"/>
            <w:tcBorders>
              <w:bottom w:val="single" w:color="000000" w:sz="12" w:space="0"/>
              <w:tl2br w:val="nil"/>
              <w:tr2bl w:val="nil"/>
            </w:tcBorders>
            <w:shd w:val="clear" w:color="auto" w:fill="auto"/>
            <w:tcMar>
              <w:top w:w="12" w:type="dxa"/>
              <w:left w:w="12" w:type="dxa"/>
              <w:right w:w="12" w:type="dxa"/>
            </w:tcMar>
            <w:vAlign w:val="center"/>
          </w:tcPr>
          <w:p>
            <w:pPr>
              <w:widowControl/>
              <w:jc w:val="center"/>
              <w:textAlignment w:val="top"/>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eastAsia="宋体" w:cs="Times New Roman"/>
                <w:color w:val="000000" w:themeColor="text1"/>
                <w:kern w:val="0"/>
                <w:sz w:val="18"/>
                <w:szCs w:val="18"/>
                <w:lang w:bidi="ar"/>
                <w14:textFill>
                  <w14:solidFill>
                    <w14:schemeClr w14:val="tx1"/>
                  </w14:solidFill>
                </w14:textFill>
              </w:rPr>
              <w:t>路肩</w:t>
            </w:r>
          </w:p>
        </w:tc>
        <w:tc>
          <w:tcPr>
            <w:tcW w:w="1114" w:type="dxa"/>
            <w:tcBorders>
              <w:bottom w:val="single" w:color="000000" w:sz="12"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30.09</w:t>
            </w:r>
          </w:p>
        </w:tc>
        <w:tc>
          <w:tcPr>
            <w:tcW w:w="1083" w:type="dxa"/>
            <w:tcBorders>
              <w:bottom w:val="single" w:color="000000" w:sz="12"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20.85</w:t>
            </w:r>
          </w:p>
        </w:tc>
        <w:tc>
          <w:tcPr>
            <w:tcW w:w="1026" w:type="dxa"/>
            <w:tcBorders>
              <w:bottom w:val="single" w:color="000000" w:sz="12"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17.29</w:t>
            </w:r>
          </w:p>
        </w:tc>
        <w:tc>
          <w:tcPr>
            <w:tcW w:w="1114" w:type="dxa"/>
            <w:tcBorders>
              <w:bottom w:val="single" w:color="000000" w:sz="12" w:space="0"/>
              <w:tl2br w:val="nil"/>
              <w:tr2bl w:val="nil"/>
            </w:tcBorders>
            <w:shd w:val="clear" w:color="auto" w:fill="auto"/>
            <w:tcMar>
              <w:top w:w="12" w:type="dxa"/>
              <w:left w:w="12" w:type="dxa"/>
              <w:right w:w="12" w:type="dxa"/>
            </w:tcMar>
            <w:vAlign w:val="center"/>
          </w:tcPr>
          <w:p>
            <w:pPr>
              <w:widowControl/>
              <w:jc w:val="center"/>
              <w:textAlignment w:val="center"/>
              <w:rPr>
                <w:rFonts w:ascii="Times New Roman" w:hAnsi="Times New Roman" w:eastAsia="宋体" w:cs="Times New Roman"/>
                <w:color w:val="000000" w:themeColor="text1"/>
                <w:sz w:val="18"/>
                <w:szCs w:val="18"/>
                <w14:textFill>
                  <w14:solidFill>
                    <w14:schemeClr w14:val="tx1"/>
                  </w14:solidFill>
                </w14:textFill>
              </w:rPr>
            </w:pPr>
            <w:r>
              <w:rPr>
                <w:rFonts w:ascii="Times New Roman" w:hAnsi="Times New Roman" w:cs="Times New Roman"/>
                <w:color w:val="000000" w:themeColor="text1"/>
                <w:sz w:val="18"/>
                <w:szCs w:val="18"/>
                <w14:textFill>
                  <w14:solidFill>
                    <w14:schemeClr w14:val="tx1"/>
                  </w14:solidFill>
                </w14:textFill>
              </w:rPr>
              <w:t>14.45</w:t>
            </w:r>
          </w:p>
        </w:tc>
      </w:tr>
    </w:tbl>
    <w:p>
      <w:pPr>
        <w:jc w:val="center"/>
        <w:rPr>
          <w:rFonts w:ascii="Times New Roman" w:hAnsi="Times New Roman" w:eastAsia="宋体" w:cs="Times New Roman"/>
          <w:szCs w:val="21"/>
        </w:rPr>
      </w:pPr>
      <w:r>
        <w:rPr>
          <w:rFonts w:ascii="Times New Roman" w:hAnsi="Times New Roman" w:eastAsia="宋体" w:cs="Times New Roman"/>
          <w:szCs w:val="21"/>
        </w:rPr>
        <w:object>
          <v:shape id="_x0000_i1039" o:spt="75" type="#_x0000_t75" style="height:103.5pt;width:170.25pt;" o:ole="t" filled="f" o:preferrelative="t" stroked="f" coordsize="21600,21600">
            <v:path/>
            <v:fill on="f" focussize="0,0"/>
            <v:stroke on="f" joinstyle="miter"/>
            <v:imagedata r:id="rId39" cropleft="3306f" cropright="1588f" o:title=""/>
            <o:lock v:ext="edit" aspectratio="t"/>
            <w10:wrap type="none"/>
            <w10:anchorlock/>
          </v:shape>
          <o:OLEObject Type="Embed" ProgID="PowerPoint.Show.12" ShapeID="_x0000_i1039" DrawAspect="Content" ObjectID="_1468075739" r:id="rId38">
            <o:LockedField>false</o:LockedField>
          </o:OLEObject>
        </w:object>
      </w:r>
    </w:p>
    <w:p>
      <w:pPr>
        <w:jc w:val="center"/>
        <w:rPr>
          <w:rFonts w:hint="eastAsia" w:ascii="宋体" w:hAnsi="宋体" w:eastAsia="宋体" w:cs="宋体"/>
          <w:b/>
          <w:bCs/>
          <w:sz w:val="18"/>
          <w:szCs w:val="18"/>
        </w:rPr>
      </w:pPr>
      <w:r>
        <w:rPr>
          <w:rFonts w:hint="eastAsia" w:ascii="宋体" w:hAnsi="宋体" w:eastAsia="宋体" w:cs="宋体"/>
          <w:b/>
          <w:bCs/>
          <w:sz w:val="18"/>
          <w:szCs w:val="18"/>
        </w:rPr>
        <w:t>图13  处治20年后顶管沉降位移云图</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eastAsia="宋体" w:cs="Times New Roman"/>
          <w:b/>
          <w:bCs/>
          <w:sz w:val="21"/>
          <w:szCs w:val="21"/>
        </w:rPr>
      </w:pPr>
      <w:r>
        <w:rPr>
          <w:rFonts w:ascii="Times New Roman" w:hAnsi="Times New Roman" w:eastAsia="宋体" w:cs="Times New Roman"/>
          <w:b/>
          <w:bCs/>
          <w:sz w:val="18"/>
          <w:szCs w:val="18"/>
        </w:rPr>
        <w:t>Fig.13  Cloud chart of pipe jacking settlement displacement after 20 years of treatment</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b w:val="0"/>
          <w:bCs w:val="0"/>
          <w:szCs w:val="21"/>
        </w:rPr>
      </w:pPr>
      <w:r>
        <w:rPr>
          <w:rFonts w:hint="eastAsia" w:ascii="宋体" w:hAnsi="宋体" w:eastAsia="宋体" w:cs="宋体"/>
          <w:b w:val="0"/>
          <w:bCs w:val="0"/>
          <w:szCs w:val="21"/>
          <w:lang w:val="en-US" w:eastAsia="zh-CN"/>
        </w:rPr>
        <w:t>2）</w:t>
      </w:r>
      <w:r>
        <w:rPr>
          <w:rFonts w:hint="eastAsia" w:ascii="宋体" w:hAnsi="宋体" w:eastAsia="宋体" w:cs="宋体"/>
          <w:b w:val="0"/>
          <w:bCs w:val="0"/>
          <w:szCs w:val="21"/>
        </w:rPr>
        <w:t>变刚度处治区变形协调特征</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处治后路面中心沉降与桥头距离的关系曲线</w:t>
      </w:r>
      <w:r>
        <w:rPr>
          <w:rFonts w:hint="eastAsia" w:ascii="宋体" w:hAnsi="宋体" w:eastAsia="宋体" w:cs="宋体"/>
          <w:szCs w:val="21"/>
          <w:lang w:eastAsia="zh-CN"/>
        </w:rPr>
        <w:t>如图</w:t>
      </w:r>
      <w:r>
        <w:rPr>
          <w:rFonts w:hint="eastAsia" w:ascii="宋体" w:hAnsi="宋体" w:eastAsia="宋体" w:cs="宋体"/>
          <w:szCs w:val="21"/>
          <w:lang w:val="en-US" w:eastAsia="zh-CN"/>
        </w:rPr>
        <w:t>14所示</w:t>
      </w:r>
      <w:r>
        <w:rPr>
          <w:rFonts w:hint="eastAsia" w:ascii="宋体" w:hAnsi="宋体" w:eastAsia="宋体" w:cs="宋体"/>
          <w:szCs w:val="21"/>
        </w:rPr>
        <w:t>，路面沉降云图</w:t>
      </w:r>
      <w:r>
        <w:rPr>
          <w:rFonts w:hint="eastAsia" w:ascii="宋体" w:hAnsi="宋体" w:eastAsia="宋体" w:cs="宋体"/>
          <w:szCs w:val="21"/>
          <w:lang w:eastAsia="zh-CN"/>
        </w:rPr>
        <w:t>如图</w:t>
      </w:r>
      <w:r>
        <w:rPr>
          <w:rFonts w:hint="eastAsia" w:ascii="宋体" w:hAnsi="宋体" w:eastAsia="宋体" w:cs="宋体"/>
          <w:szCs w:val="21"/>
          <w:lang w:val="en-US" w:eastAsia="zh-CN"/>
        </w:rPr>
        <w:t>15所示</w:t>
      </w:r>
      <w:r>
        <w:rPr>
          <w:rFonts w:hint="eastAsia" w:ascii="宋体" w:hAnsi="宋体" w:eastAsia="宋体" w:cs="宋体"/>
          <w:szCs w:val="21"/>
        </w:rPr>
        <w:t>。从图</w:t>
      </w:r>
      <w:r>
        <w:rPr>
          <w:rFonts w:hint="eastAsia" w:ascii="宋体" w:hAnsi="宋体" w:eastAsia="宋体" w:cs="宋体"/>
          <w:szCs w:val="21"/>
          <w:lang w:val="en-US" w:eastAsia="zh-CN"/>
        </w:rPr>
        <w:t>14</w:t>
      </w:r>
      <w:r>
        <w:rPr>
          <w:rFonts w:hint="eastAsia" w:ascii="宋体" w:hAnsi="宋体" w:eastAsia="宋体" w:cs="宋体"/>
          <w:szCs w:val="21"/>
        </w:rPr>
        <w:t>中可以看出，路面中心沉降值随着时间及桥头距离的增大的而增大，路堤沉降沿线路方向呈现较平缓的渐变效果，验证了顶管渐变置换处治方案，能有效处治桥头跳车问题。</w:t>
      </w:r>
    </w:p>
    <w:p>
      <w:pPr>
        <w:jc w:val="both"/>
        <w:rPr>
          <w:rFonts w:ascii="Times New Roman" w:hAnsi="Times New Roman" w:eastAsia="宋体" w:cs="Times New Roman"/>
          <w:szCs w:val="21"/>
        </w:rPr>
      </w:pPr>
      <w:r>
        <w:object>
          <v:shape id="_x0000_i1040" o:spt="75" type="#_x0000_t75" style="height:119.25pt;width:202.5pt;" o:ole="t" filled="f" o:preferrelative="t" stroked="f" coordsize="21600,21600">
            <v:path/>
            <v:fill on="f" focussize="0,0"/>
            <v:stroke on="f" joinstyle="miter"/>
            <v:imagedata r:id="rId41" cropright="4836f" cropbottom="19097f" o:title=""/>
            <o:lock v:ext="edit" aspectratio="t"/>
            <w10:wrap type="none"/>
            <w10:anchorlock/>
          </v:shape>
          <o:OLEObject Type="Embed" ProgID="Origin50.Graph" ShapeID="_x0000_i1040" DrawAspect="Content" ObjectID="_1468075740" r:id="rId40">
            <o:LockedField>false</o:LockedField>
          </o:OLEObject>
        </w:object>
      </w:r>
      <w:r>
        <w:rPr>
          <w:rFonts w:hint="eastAsia" w:eastAsia="宋体"/>
          <w:lang w:val="en-US" w:eastAsia="zh-CN"/>
        </w:rPr>
        <w:t xml:space="preserve">         </w:t>
      </w:r>
      <w:r>
        <w:rPr>
          <w:rFonts w:ascii="Times New Roman" w:hAnsi="Times New Roman" w:eastAsia="宋体" w:cs="Times New Roman"/>
          <w:szCs w:val="21"/>
        </w:rPr>
        <w:object>
          <v:shape id="_x0000_i1041" o:spt="75" type="#_x0000_t75" style="height:110.55pt;width:195.15pt;" o:ole="t" filled="f" o:preferrelative="t" stroked="f" coordsize="21600,21600">
            <v:path/>
            <v:fill on="f" focussize="0,0"/>
            <v:stroke on="f"/>
            <v:imagedata r:id="rId43" o:title=""/>
            <o:lock v:ext="edit" aspectratio="t"/>
            <w10:wrap type="none"/>
            <w10:anchorlock/>
          </v:shape>
          <o:OLEObject Type="Embed" ProgID="PowerPoint.Show.12" ShapeID="_x0000_i1041" DrawAspect="Content" ObjectID="_1468075741" r:id="rId42">
            <o:LockedField>false</o:LockedField>
          </o:OLEObject>
        </w:object>
      </w:r>
    </w:p>
    <w:p>
      <w:pPr>
        <w:spacing w:line="260" w:lineRule="exact"/>
        <w:ind w:firstLine="542" w:firstLineChars="300"/>
        <w:jc w:val="both"/>
        <w:rPr>
          <w:rFonts w:hint="eastAsia" w:ascii="宋体" w:hAnsi="宋体" w:eastAsia="宋体" w:cs="宋体"/>
          <w:b/>
          <w:bCs/>
          <w:color w:val="000000" w:themeColor="text1"/>
          <w:sz w:val="18"/>
          <w:szCs w:val="18"/>
          <w14:textFill>
            <w14:solidFill>
              <w14:schemeClr w14:val="tx1"/>
            </w14:solidFill>
          </w14:textFill>
        </w:rPr>
      </w:pPr>
      <w:r>
        <w:rPr>
          <w:rFonts w:hint="eastAsia" w:ascii="宋体" w:hAnsi="宋体" w:eastAsia="宋体" w:cs="宋体"/>
          <w:b/>
          <w:bCs/>
          <w:sz w:val="18"/>
          <w:szCs w:val="18"/>
        </w:rPr>
        <w:t>图14  处治后路面中心沿线路方向沉降值</w:t>
      </w:r>
      <w:r>
        <w:rPr>
          <w:rFonts w:hint="eastAsia" w:ascii="宋体" w:hAnsi="宋体" w:eastAsia="宋体" w:cs="宋体"/>
          <w:b/>
          <w:bCs/>
          <w:sz w:val="18"/>
          <w:szCs w:val="18"/>
          <w:lang w:val="en-US" w:eastAsia="zh-CN"/>
        </w:rPr>
        <w:t xml:space="preserve">            </w:t>
      </w:r>
      <w:r>
        <w:rPr>
          <w:rFonts w:hint="eastAsia" w:ascii="宋体" w:hAnsi="宋体" w:eastAsia="宋体" w:cs="宋体"/>
          <w:b/>
          <w:bCs/>
          <w:color w:val="000000" w:themeColor="text1"/>
          <w:sz w:val="18"/>
          <w:szCs w:val="18"/>
          <w14:textFill>
            <w14:solidFill>
              <w14:schemeClr w14:val="tx1"/>
            </w14:solidFill>
          </w14:textFill>
        </w:rPr>
        <w:t>图15  2039年路面沉降云图</w:t>
      </w:r>
    </w:p>
    <w:p>
      <w:pPr>
        <w:keepNext w:val="0"/>
        <w:keepLines w:val="0"/>
        <w:pageBreakBefore w:val="0"/>
        <w:widowControl w:val="0"/>
        <w:kinsoku/>
        <w:wordWrap/>
        <w:overflowPunct/>
        <w:topLinePunct w:val="0"/>
        <w:autoSpaceDE/>
        <w:autoSpaceDN/>
        <w:bidi w:val="0"/>
        <w:adjustRightInd/>
        <w:snapToGrid/>
        <w:jc w:val="center"/>
        <w:textAlignment w:val="auto"/>
        <w:rPr>
          <w:rFonts w:ascii="Times New Roman" w:hAnsi="Times New Roman" w:cs="Times New Roman"/>
          <w:b/>
          <w:bCs/>
          <w:color w:val="000000" w:themeColor="text1"/>
          <w:sz w:val="18"/>
          <w:szCs w:val="18"/>
          <w14:textFill>
            <w14:solidFill>
              <w14:schemeClr w14:val="tx1"/>
            </w14:solidFill>
          </w14:textFill>
        </w:rPr>
      </w:pPr>
      <w:r>
        <w:rPr>
          <w:rFonts w:ascii="Times New Roman" w:hAnsi="Times New Roman" w:eastAsia="宋体" w:cs="Times New Roman"/>
          <w:b/>
          <w:bCs/>
          <w:sz w:val="18"/>
          <w:szCs w:val="18"/>
        </w:rPr>
        <w:t>Fig.14  Settlement along the road surface after treatment</w:t>
      </w:r>
      <w:r>
        <w:rPr>
          <w:rFonts w:hint="eastAsia" w:ascii="Times New Roman" w:hAnsi="Times New Roman" w:eastAsia="宋体" w:cs="Times New Roman"/>
          <w:b/>
          <w:bCs/>
          <w:sz w:val="18"/>
          <w:szCs w:val="18"/>
          <w:lang w:val="en-US" w:eastAsia="zh-CN"/>
        </w:rPr>
        <w:t xml:space="preserve">   </w:t>
      </w:r>
      <w:r>
        <w:rPr>
          <w:rFonts w:ascii="Times New Roman" w:hAnsi="Times New Roman" w:eastAsia="宋体" w:cs="Times New Roman"/>
          <w:b/>
          <w:bCs/>
          <w:color w:val="000000" w:themeColor="text1"/>
          <w:sz w:val="18"/>
          <w:szCs w:val="18"/>
          <w14:textFill>
            <w14:solidFill>
              <w14:schemeClr w14:val="tx1"/>
            </w14:solidFill>
          </w14:textFill>
        </w:rPr>
        <w:t>Fig.15  Cloud chart of pavement settlement in 2039</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
          <w:bCs/>
          <w:szCs w:val="21"/>
        </w:rPr>
      </w:pPr>
      <w:commentRangeStart w:id="21"/>
      <w:r>
        <w:rPr>
          <w:rFonts w:hint="eastAsia" w:ascii="宋体" w:hAnsi="宋体" w:eastAsia="宋体" w:cs="宋体"/>
          <w:b/>
          <w:bCs/>
          <w:szCs w:val="21"/>
        </w:rPr>
        <w:t>4  结论</w:t>
      </w:r>
      <w:commentRangeEnd w:id="21"/>
      <w:r>
        <w:commentReference w:id="21"/>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1）顶管渐变置换法随顶管间距的减小，处治效果逐渐增强，当间距为1.06m时，沉降控制效果最好，且在在顶管施工过程中，存在土拱效应，在一定程度上延缓和降低了地表沉降。</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2）顶管渐变置换法在处治桥头跳车问题上，一方面，顶管置换出来土体在很大程度上减轻了路堤自重，且随间距的减小，路堤自重荷载降低越大，沉降量也随之减小；另一方面，</w:t>
      </w:r>
      <w:bookmarkStart w:id="5" w:name="_Hlk54273617"/>
      <w:r>
        <w:rPr>
          <w:rFonts w:hint="eastAsia" w:ascii="宋体" w:hAnsi="宋体" w:eastAsia="宋体" w:cs="宋体"/>
          <w:szCs w:val="21"/>
        </w:rPr>
        <w:t>顶管下穿路堤形成类似梁结构，很好</w:t>
      </w:r>
      <w:r>
        <w:rPr>
          <w:rFonts w:hint="eastAsia" w:ascii="宋体" w:hAnsi="宋体" w:eastAsia="宋体" w:cs="宋体"/>
          <w:szCs w:val="21"/>
          <w:lang w:eastAsia="zh-CN"/>
        </w:rPr>
        <w:t>地</w:t>
      </w:r>
      <w:r>
        <w:rPr>
          <w:rFonts w:hint="eastAsia" w:ascii="宋体" w:hAnsi="宋体" w:eastAsia="宋体" w:cs="宋体"/>
          <w:szCs w:val="21"/>
        </w:rPr>
        <w:t>承担了上部路堤自重和交通荷载，变相提高了路基的刚度。</w:t>
      </w:r>
      <w:bookmarkEnd w:id="5"/>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20" w:firstLineChars="200"/>
        <w:jc w:val="both"/>
        <w:textAlignment w:val="auto"/>
        <w:outlineLvl w:val="9"/>
        <w:rPr>
          <w:rFonts w:hint="eastAsia" w:ascii="宋体" w:hAnsi="宋体" w:eastAsia="宋体" w:cs="宋体"/>
          <w:szCs w:val="21"/>
        </w:rPr>
      </w:pPr>
      <w:r>
        <w:rPr>
          <w:rFonts w:hint="eastAsia" w:ascii="宋体" w:hAnsi="宋体" w:eastAsia="宋体" w:cs="宋体"/>
          <w:szCs w:val="21"/>
        </w:rPr>
        <w:t>3）通过对桥头跳车段进行分区渐变处治，顶管间距沿线路方向逐渐增大，路面沉降也随之呈现平缓的渐变效果，提高了行车安全性和舒适性，桥头跳车问题得到较好缓解。</w:t>
      </w:r>
    </w:p>
    <w:p>
      <w:pPr>
        <w:spacing w:before="156" w:beforeLines="50"/>
        <w:jc w:val="center"/>
        <w:rPr>
          <w:rFonts w:ascii="Times New Roman" w:hAnsi="Times New Roman" w:eastAsia="宋体" w:cs="Times New Roman"/>
          <w:b/>
          <w:bCs/>
          <w:szCs w:val="21"/>
        </w:rPr>
      </w:pPr>
      <w:commentRangeStart w:id="22"/>
      <w:r>
        <w:rPr>
          <w:rFonts w:ascii="Times New Roman" w:hAnsi="Times New Roman" w:eastAsia="宋体" w:cs="Times New Roman"/>
          <w:b/>
          <w:bCs/>
          <w:szCs w:val="21"/>
        </w:rPr>
        <w:t>参考文献</w:t>
      </w:r>
    </w:p>
    <w:p>
      <w:pPr>
        <w:spacing w:before="156" w:beforeLines="50"/>
        <w:jc w:val="center"/>
        <w:rPr>
          <w:rFonts w:ascii="Times New Roman" w:hAnsi="Times New Roman" w:eastAsia="宋体" w:cs="Times New Roman"/>
          <w:b/>
          <w:bCs/>
          <w:szCs w:val="21"/>
        </w:rPr>
      </w:pPr>
      <w:r>
        <w:rPr>
          <w:rFonts w:ascii="Times New Roman" w:hAnsi="Times New Roman" w:eastAsia="宋体" w:cs="Times New Roman"/>
          <w:b/>
          <w:bCs/>
          <w:szCs w:val="21"/>
        </w:rPr>
        <w:t>References</w:t>
      </w:r>
      <w:commentRangeEnd w:id="22"/>
      <w:r>
        <w:commentReference w:id="22"/>
      </w: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6" w:name="_Ref54197277"/>
      <w:r>
        <w:rPr>
          <w:rFonts w:hint="eastAsia" w:ascii="宋体" w:hAnsi="宋体" w:eastAsia="宋体" w:cs="宋体"/>
          <w:sz w:val="18"/>
          <w:szCs w:val="18"/>
          <w:lang w:val="en-US" w:eastAsia="zh-CN"/>
        </w:rPr>
        <w:t xml:space="preserve">[1] </w:t>
      </w:r>
      <w:r>
        <w:rPr>
          <w:rFonts w:hint="eastAsia" w:ascii="宋体" w:hAnsi="宋体" w:eastAsia="宋体" w:cs="宋体"/>
          <w:sz w:val="18"/>
          <w:szCs w:val="18"/>
        </w:rPr>
        <w:t>谷世平</w:t>
      </w:r>
      <w:r>
        <w:rPr>
          <w:rFonts w:hint="eastAsia" w:ascii="宋体" w:hAnsi="宋体" w:eastAsia="宋体" w:cs="宋体"/>
          <w:sz w:val="18"/>
          <w:szCs w:val="18"/>
          <w:lang w:eastAsia="zh-CN"/>
        </w:rPr>
        <w:t>，</w:t>
      </w:r>
      <w:r>
        <w:rPr>
          <w:rFonts w:hint="eastAsia" w:ascii="宋体" w:hAnsi="宋体" w:eastAsia="宋体" w:cs="宋体"/>
          <w:sz w:val="18"/>
          <w:szCs w:val="18"/>
        </w:rPr>
        <w:t>程玉泉</w:t>
      </w:r>
      <w:r>
        <w:rPr>
          <w:rFonts w:hint="eastAsia" w:ascii="宋体" w:hAnsi="宋体" w:eastAsia="宋体" w:cs="宋体"/>
          <w:sz w:val="18"/>
          <w:szCs w:val="18"/>
          <w:lang w:eastAsia="zh-CN"/>
        </w:rPr>
        <w:t>，</w:t>
      </w:r>
      <w:r>
        <w:rPr>
          <w:rFonts w:hint="eastAsia" w:ascii="宋体" w:hAnsi="宋体" w:eastAsia="宋体" w:cs="宋体"/>
          <w:sz w:val="18"/>
          <w:szCs w:val="18"/>
        </w:rPr>
        <w:t>王铁法. 路桥过渡段复合软基处理技术[J]. 公路</w:t>
      </w:r>
      <w:r>
        <w:rPr>
          <w:rFonts w:hint="eastAsia" w:ascii="宋体" w:hAnsi="宋体" w:eastAsia="宋体" w:cs="宋体"/>
          <w:sz w:val="18"/>
          <w:szCs w:val="18"/>
          <w:lang w:eastAsia="zh-CN"/>
        </w:rPr>
        <w:t>，</w:t>
      </w:r>
      <w:r>
        <w:rPr>
          <w:rFonts w:hint="eastAsia" w:ascii="宋体" w:hAnsi="宋体" w:eastAsia="宋体" w:cs="宋体"/>
          <w:sz w:val="18"/>
          <w:szCs w:val="18"/>
        </w:rPr>
        <w:t>2018</w:t>
      </w:r>
      <w:r>
        <w:rPr>
          <w:rFonts w:hint="eastAsia" w:ascii="宋体" w:hAnsi="宋体" w:eastAsia="宋体" w:cs="宋体"/>
          <w:sz w:val="18"/>
          <w:szCs w:val="18"/>
          <w:lang w:eastAsia="zh-CN"/>
        </w:rPr>
        <w:t>，</w:t>
      </w:r>
      <w:r>
        <w:rPr>
          <w:rFonts w:hint="eastAsia" w:ascii="宋体" w:hAnsi="宋体" w:eastAsia="宋体" w:cs="宋体"/>
          <w:sz w:val="18"/>
          <w:szCs w:val="18"/>
        </w:rPr>
        <w:t>63(11)</w:t>
      </w:r>
      <w:r>
        <w:rPr>
          <w:rFonts w:hint="eastAsia" w:ascii="宋体" w:hAnsi="宋体" w:eastAsia="宋体" w:cs="宋体"/>
          <w:sz w:val="18"/>
          <w:szCs w:val="18"/>
          <w:lang w:eastAsia="zh-CN"/>
        </w:rPr>
        <w:t>：</w:t>
      </w:r>
      <w:r>
        <w:rPr>
          <w:rFonts w:hint="eastAsia" w:ascii="宋体" w:hAnsi="宋体" w:eastAsia="宋体" w:cs="宋体"/>
          <w:sz w:val="18"/>
          <w:szCs w:val="18"/>
        </w:rPr>
        <w:t>164-167.</w:t>
      </w:r>
      <w:bookmarkEnd w:id="6"/>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r>
        <w:rPr>
          <w:rFonts w:hint="eastAsia" w:ascii="宋体" w:hAnsi="宋体" w:eastAsia="宋体" w:cs="宋体"/>
          <w:sz w:val="18"/>
          <w:szCs w:val="18"/>
        </w:rPr>
        <w:t>GU Shiping</w:t>
      </w:r>
      <w:r>
        <w:rPr>
          <w:rFonts w:hint="eastAsia" w:ascii="宋体" w:hAnsi="宋体" w:eastAsia="宋体" w:cs="宋体"/>
          <w:sz w:val="18"/>
          <w:szCs w:val="18"/>
          <w:lang w:eastAsia="zh-CN"/>
        </w:rPr>
        <w:t>，</w:t>
      </w:r>
      <w:r>
        <w:rPr>
          <w:rFonts w:hint="eastAsia" w:ascii="宋体" w:hAnsi="宋体" w:eastAsia="宋体" w:cs="宋体"/>
          <w:sz w:val="18"/>
          <w:szCs w:val="18"/>
        </w:rPr>
        <w:t>CHENG Yuquan</w:t>
      </w:r>
      <w:r>
        <w:rPr>
          <w:rFonts w:hint="eastAsia" w:ascii="宋体" w:hAnsi="宋体" w:eastAsia="宋体" w:cs="宋体"/>
          <w:sz w:val="18"/>
          <w:szCs w:val="18"/>
          <w:lang w:eastAsia="zh-CN"/>
        </w:rPr>
        <w:t>，</w:t>
      </w:r>
      <w:r>
        <w:rPr>
          <w:rFonts w:hint="eastAsia" w:ascii="宋体" w:hAnsi="宋体" w:eastAsia="宋体" w:cs="宋体"/>
          <w:sz w:val="18"/>
          <w:szCs w:val="18"/>
        </w:rPr>
        <w:t>WANG Tiefa. Road bridge transition segment composite soft-base processing technology[J]. Highway</w:t>
      </w:r>
      <w:r>
        <w:rPr>
          <w:rFonts w:hint="eastAsia" w:ascii="宋体" w:hAnsi="宋体" w:eastAsia="宋体" w:cs="宋体"/>
          <w:sz w:val="18"/>
          <w:szCs w:val="18"/>
          <w:lang w:eastAsia="zh-CN"/>
        </w:rPr>
        <w:t>，</w:t>
      </w:r>
      <w:r>
        <w:rPr>
          <w:rFonts w:hint="eastAsia" w:ascii="宋体" w:hAnsi="宋体" w:eastAsia="宋体" w:cs="宋体"/>
          <w:sz w:val="18"/>
          <w:szCs w:val="18"/>
        </w:rPr>
        <w:t>2018</w:t>
      </w:r>
      <w:r>
        <w:rPr>
          <w:rFonts w:hint="eastAsia" w:ascii="宋体" w:hAnsi="宋体" w:eastAsia="宋体" w:cs="宋体"/>
          <w:sz w:val="18"/>
          <w:szCs w:val="18"/>
          <w:lang w:eastAsia="zh-CN"/>
        </w:rPr>
        <w:t>，</w:t>
      </w:r>
      <w:r>
        <w:rPr>
          <w:rFonts w:hint="eastAsia" w:ascii="宋体" w:hAnsi="宋体" w:eastAsia="宋体" w:cs="宋体"/>
          <w:sz w:val="18"/>
          <w:szCs w:val="18"/>
        </w:rPr>
        <w:t>63(11)</w:t>
      </w:r>
      <w:r>
        <w:rPr>
          <w:rFonts w:hint="eastAsia" w:ascii="宋体" w:hAnsi="宋体" w:eastAsia="宋体" w:cs="宋体"/>
          <w:sz w:val="18"/>
          <w:szCs w:val="18"/>
          <w:lang w:eastAsia="zh-CN"/>
        </w:rPr>
        <w:t>：</w:t>
      </w:r>
      <w:r>
        <w:rPr>
          <w:rFonts w:hint="eastAsia" w:ascii="宋体" w:hAnsi="宋体" w:eastAsia="宋体" w:cs="宋体"/>
          <w:sz w:val="18"/>
          <w:szCs w:val="18"/>
        </w:rPr>
        <w:t>164-167.</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7" w:name="_Ref54246109"/>
      <w:r>
        <w:rPr>
          <w:rFonts w:hint="eastAsia" w:ascii="宋体" w:hAnsi="宋体" w:eastAsia="宋体" w:cs="宋体"/>
          <w:sz w:val="18"/>
          <w:szCs w:val="18"/>
          <w:lang w:val="en-US" w:eastAsia="zh-CN"/>
        </w:rPr>
        <w:t xml:space="preserve">[2] </w:t>
      </w:r>
      <w:r>
        <w:rPr>
          <w:rFonts w:hint="eastAsia" w:ascii="宋体" w:hAnsi="宋体" w:eastAsia="宋体" w:cs="宋体"/>
          <w:sz w:val="18"/>
          <w:szCs w:val="18"/>
        </w:rPr>
        <w:t>李然</w:t>
      </w:r>
      <w:r>
        <w:rPr>
          <w:rFonts w:hint="eastAsia" w:ascii="宋体" w:hAnsi="宋体" w:eastAsia="宋体" w:cs="宋体"/>
          <w:sz w:val="18"/>
          <w:szCs w:val="18"/>
          <w:lang w:eastAsia="zh-CN"/>
        </w:rPr>
        <w:t>，</w:t>
      </w:r>
      <w:r>
        <w:rPr>
          <w:rFonts w:hint="eastAsia" w:ascii="宋体" w:hAnsi="宋体" w:eastAsia="宋体" w:cs="宋体"/>
          <w:sz w:val="18"/>
          <w:szCs w:val="18"/>
        </w:rPr>
        <w:t>刘润</w:t>
      </w:r>
      <w:r>
        <w:rPr>
          <w:rFonts w:hint="eastAsia" w:ascii="宋体" w:hAnsi="宋体" w:eastAsia="宋体" w:cs="宋体"/>
          <w:sz w:val="18"/>
          <w:szCs w:val="18"/>
          <w:lang w:eastAsia="zh-CN"/>
        </w:rPr>
        <w:t>，</w:t>
      </w:r>
      <w:r>
        <w:rPr>
          <w:rFonts w:hint="eastAsia" w:ascii="宋体" w:hAnsi="宋体" w:eastAsia="宋体" w:cs="宋体"/>
          <w:sz w:val="18"/>
          <w:szCs w:val="18"/>
        </w:rPr>
        <w:t>徐余</w:t>
      </w:r>
      <w:r>
        <w:rPr>
          <w:rFonts w:hint="eastAsia" w:ascii="宋体" w:hAnsi="宋体" w:eastAsia="宋体" w:cs="宋体"/>
          <w:sz w:val="18"/>
          <w:szCs w:val="18"/>
          <w:lang w:eastAsia="zh-CN"/>
        </w:rPr>
        <w:t>，</w:t>
      </w:r>
      <w:r>
        <w:rPr>
          <w:rFonts w:hint="eastAsia" w:ascii="宋体" w:hAnsi="宋体" w:eastAsia="宋体" w:cs="宋体"/>
          <w:sz w:val="18"/>
          <w:szCs w:val="18"/>
        </w:rPr>
        <w:t>等. 水泥搅拌桩法处理软土地基中桥头跳车现象的影响因素分析[J]. 岩土工程学报</w:t>
      </w:r>
      <w:r>
        <w:rPr>
          <w:rFonts w:hint="eastAsia" w:ascii="宋体" w:hAnsi="宋体" w:eastAsia="宋体" w:cs="宋体"/>
          <w:sz w:val="18"/>
          <w:szCs w:val="18"/>
          <w:lang w:eastAsia="zh-CN"/>
        </w:rPr>
        <w:t>，</w:t>
      </w:r>
      <w:r>
        <w:rPr>
          <w:rFonts w:hint="eastAsia" w:ascii="宋体" w:hAnsi="宋体" w:eastAsia="宋体" w:cs="宋体"/>
          <w:sz w:val="18"/>
          <w:szCs w:val="18"/>
        </w:rPr>
        <w:t>2013</w:t>
      </w:r>
      <w:r>
        <w:rPr>
          <w:rFonts w:hint="eastAsia" w:ascii="宋体" w:hAnsi="宋体" w:eastAsia="宋体" w:cs="宋体"/>
          <w:sz w:val="18"/>
          <w:szCs w:val="18"/>
          <w:lang w:eastAsia="zh-CN"/>
        </w:rPr>
        <w:t>，</w:t>
      </w:r>
      <w:r>
        <w:rPr>
          <w:rFonts w:hint="eastAsia" w:ascii="宋体" w:hAnsi="宋体" w:eastAsia="宋体" w:cs="宋体"/>
          <w:sz w:val="18"/>
          <w:szCs w:val="18"/>
        </w:rPr>
        <w:t>35(增2)</w:t>
      </w:r>
      <w:r>
        <w:rPr>
          <w:rFonts w:hint="eastAsia" w:ascii="宋体" w:hAnsi="宋体" w:eastAsia="宋体" w:cs="宋体"/>
          <w:sz w:val="18"/>
          <w:szCs w:val="18"/>
          <w:lang w:eastAsia="zh-CN"/>
        </w:rPr>
        <w:t>：</w:t>
      </w:r>
      <w:r>
        <w:rPr>
          <w:rFonts w:hint="eastAsia" w:ascii="宋体" w:hAnsi="宋体" w:eastAsia="宋体" w:cs="宋体"/>
          <w:sz w:val="18"/>
          <w:szCs w:val="18"/>
        </w:rPr>
        <w:t>725-729.</w:t>
      </w:r>
      <w:bookmarkEnd w:id="7"/>
      <w:r>
        <w:rPr>
          <w:rFonts w:hint="eastAsia" w:ascii="宋体" w:hAnsi="宋体" w:eastAsia="宋体" w:cs="宋体"/>
          <w:sz w:val="18"/>
          <w:szCs w:val="18"/>
        </w:rPr>
        <w:t xml:space="preserve"> </w:t>
      </w:r>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r>
        <w:rPr>
          <w:rFonts w:hint="eastAsia" w:ascii="宋体" w:hAnsi="宋体" w:eastAsia="宋体" w:cs="宋体"/>
          <w:sz w:val="18"/>
          <w:szCs w:val="18"/>
        </w:rPr>
        <w:t>LI Ran</w:t>
      </w:r>
      <w:r>
        <w:rPr>
          <w:rFonts w:hint="eastAsia" w:ascii="宋体" w:hAnsi="宋体" w:eastAsia="宋体" w:cs="宋体"/>
          <w:sz w:val="18"/>
          <w:szCs w:val="18"/>
          <w:lang w:eastAsia="zh-CN"/>
        </w:rPr>
        <w:t>，</w:t>
      </w:r>
      <w:r>
        <w:rPr>
          <w:rFonts w:hint="eastAsia" w:ascii="宋体" w:hAnsi="宋体" w:eastAsia="宋体" w:cs="宋体"/>
          <w:sz w:val="18"/>
          <w:szCs w:val="18"/>
        </w:rPr>
        <w:t>LIU Run</w:t>
      </w:r>
      <w:r>
        <w:rPr>
          <w:rFonts w:hint="eastAsia" w:ascii="宋体" w:hAnsi="宋体" w:eastAsia="宋体" w:cs="宋体"/>
          <w:sz w:val="18"/>
          <w:szCs w:val="18"/>
          <w:lang w:eastAsia="zh-CN"/>
        </w:rPr>
        <w:t>，</w:t>
      </w:r>
      <w:r>
        <w:rPr>
          <w:rFonts w:hint="eastAsia" w:ascii="宋体" w:hAnsi="宋体" w:eastAsia="宋体" w:cs="宋体"/>
          <w:sz w:val="18"/>
          <w:szCs w:val="18"/>
        </w:rPr>
        <w:t>XU Yu</w:t>
      </w:r>
      <w:r>
        <w:rPr>
          <w:rFonts w:hint="eastAsia" w:ascii="宋体" w:hAnsi="宋体" w:eastAsia="宋体" w:cs="宋体"/>
          <w:sz w:val="18"/>
          <w:szCs w:val="18"/>
          <w:lang w:eastAsia="zh-CN"/>
        </w:rPr>
        <w:t>，</w:t>
      </w:r>
      <w:r>
        <w:rPr>
          <w:rFonts w:hint="eastAsia" w:ascii="宋体" w:hAnsi="宋体" w:eastAsia="宋体" w:cs="宋体"/>
          <w:sz w:val="18"/>
          <w:szCs w:val="18"/>
        </w:rPr>
        <w:t>et al. Influence factor analysis of cement mixing pile method in treating vehicle bumping at bridge head in soft soil foundation[J]. Chinese Journal of Geotechnical Engineering</w:t>
      </w:r>
      <w:r>
        <w:rPr>
          <w:rFonts w:hint="eastAsia" w:ascii="宋体" w:hAnsi="宋体" w:eastAsia="宋体" w:cs="宋体"/>
          <w:sz w:val="18"/>
          <w:szCs w:val="18"/>
          <w:lang w:eastAsia="zh-CN"/>
        </w:rPr>
        <w:t>，</w:t>
      </w:r>
      <w:r>
        <w:rPr>
          <w:rFonts w:hint="eastAsia" w:ascii="宋体" w:hAnsi="宋体" w:eastAsia="宋体" w:cs="宋体"/>
          <w:sz w:val="18"/>
          <w:szCs w:val="18"/>
        </w:rPr>
        <w:t>2013</w:t>
      </w:r>
      <w:r>
        <w:rPr>
          <w:rFonts w:hint="eastAsia" w:ascii="宋体" w:hAnsi="宋体" w:eastAsia="宋体" w:cs="宋体"/>
          <w:sz w:val="18"/>
          <w:szCs w:val="18"/>
          <w:lang w:eastAsia="zh-CN"/>
        </w:rPr>
        <w:t>，</w:t>
      </w:r>
      <w:r>
        <w:rPr>
          <w:rFonts w:hint="eastAsia" w:ascii="宋体" w:hAnsi="宋体" w:eastAsia="宋体" w:cs="宋体"/>
          <w:sz w:val="18"/>
          <w:szCs w:val="18"/>
        </w:rPr>
        <w:t>35(Supp2)</w:t>
      </w:r>
      <w:r>
        <w:rPr>
          <w:rFonts w:hint="eastAsia" w:ascii="宋体" w:hAnsi="宋体" w:eastAsia="宋体" w:cs="宋体"/>
          <w:sz w:val="18"/>
          <w:szCs w:val="18"/>
          <w:lang w:eastAsia="zh-CN"/>
        </w:rPr>
        <w:t>：</w:t>
      </w:r>
      <w:r>
        <w:rPr>
          <w:rFonts w:hint="eastAsia" w:ascii="宋体" w:hAnsi="宋体" w:eastAsia="宋体" w:cs="宋体"/>
          <w:sz w:val="18"/>
          <w:szCs w:val="18"/>
        </w:rPr>
        <w:t xml:space="preserve">725-729. </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8" w:name="_Ref54268667"/>
      <w:r>
        <w:rPr>
          <w:rFonts w:hint="eastAsia" w:ascii="宋体" w:hAnsi="宋体" w:eastAsia="宋体" w:cs="宋体"/>
          <w:sz w:val="18"/>
          <w:szCs w:val="18"/>
          <w:lang w:val="en-US" w:eastAsia="zh-CN"/>
        </w:rPr>
        <w:t xml:space="preserve">[3] </w:t>
      </w:r>
      <w:r>
        <w:rPr>
          <w:rFonts w:hint="eastAsia" w:ascii="宋体" w:hAnsi="宋体" w:eastAsia="宋体" w:cs="宋体"/>
          <w:sz w:val="18"/>
          <w:szCs w:val="18"/>
        </w:rPr>
        <w:t>申俊敏</w:t>
      </w:r>
      <w:r>
        <w:rPr>
          <w:rFonts w:hint="eastAsia" w:ascii="宋体" w:hAnsi="宋体" w:eastAsia="宋体" w:cs="宋体"/>
          <w:sz w:val="18"/>
          <w:szCs w:val="18"/>
          <w:lang w:eastAsia="zh-CN"/>
        </w:rPr>
        <w:t>，</w:t>
      </w:r>
      <w:r>
        <w:rPr>
          <w:rFonts w:hint="eastAsia" w:ascii="宋体" w:hAnsi="宋体" w:eastAsia="宋体" w:cs="宋体"/>
          <w:sz w:val="18"/>
          <w:szCs w:val="18"/>
        </w:rPr>
        <w:t>张军</w:t>
      </w:r>
      <w:r>
        <w:rPr>
          <w:rFonts w:hint="eastAsia" w:ascii="宋体" w:hAnsi="宋体" w:eastAsia="宋体" w:cs="宋体"/>
          <w:sz w:val="18"/>
          <w:szCs w:val="18"/>
          <w:lang w:eastAsia="zh-CN"/>
        </w:rPr>
        <w:t>，</w:t>
      </w:r>
      <w:r>
        <w:rPr>
          <w:rFonts w:hint="eastAsia" w:ascii="宋体" w:hAnsi="宋体" w:eastAsia="宋体" w:cs="宋体"/>
          <w:sz w:val="18"/>
          <w:szCs w:val="18"/>
        </w:rPr>
        <w:t>赵建斌</w:t>
      </w:r>
      <w:r>
        <w:rPr>
          <w:rFonts w:hint="eastAsia" w:ascii="宋体" w:hAnsi="宋体" w:eastAsia="宋体" w:cs="宋体"/>
          <w:sz w:val="18"/>
          <w:szCs w:val="18"/>
          <w:lang w:eastAsia="zh-CN"/>
        </w:rPr>
        <w:t>，</w:t>
      </w:r>
      <w:r>
        <w:rPr>
          <w:rFonts w:hint="eastAsia" w:ascii="宋体" w:hAnsi="宋体" w:eastAsia="宋体" w:cs="宋体"/>
          <w:sz w:val="18"/>
          <w:szCs w:val="18"/>
        </w:rPr>
        <w:t>等. 土工格栅加筋桥头相邻路堤的受力分析与计算[J]. 郑州大学学报(工学版)</w:t>
      </w:r>
      <w:r>
        <w:rPr>
          <w:rFonts w:hint="eastAsia" w:ascii="宋体" w:hAnsi="宋体" w:eastAsia="宋体" w:cs="宋体"/>
          <w:sz w:val="18"/>
          <w:szCs w:val="18"/>
          <w:lang w:eastAsia="zh-CN"/>
        </w:rPr>
        <w:t>，</w:t>
      </w:r>
      <w:r>
        <w:rPr>
          <w:rFonts w:hint="eastAsia" w:ascii="宋体" w:hAnsi="宋体" w:eastAsia="宋体" w:cs="宋体"/>
          <w:sz w:val="18"/>
          <w:szCs w:val="18"/>
        </w:rPr>
        <w:t>2014</w:t>
      </w:r>
      <w:r>
        <w:rPr>
          <w:rFonts w:hint="eastAsia" w:ascii="宋体" w:hAnsi="宋体" w:eastAsia="宋体" w:cs="宋体"/>
          <w:sz w:val="18"/>
          <w:szCs w:val="18"/>
          <w:lang w:eastAsia="zh-CN"/>
        </w:rPr>
        <w:t>，</w:t>
      </w:r>
      <w:r>
        <w:rPr>
          <w:rFonts w:hint="eastAsia" w:ascii="宋体" w:hAnsi="宋体" w:eastAsia="宋体" w:cs="宋体"/>
          <w:sz w:val="18"/>
          <w:szCs w:val="18"/>
        </w:rPr>
        <w:t>35(2)</w:t>
      </w:r>
      <w:r>
        <w:rPr>
          <w:rFonts w:hint="eastAsia" w:ascii="宋体" w:hAnsi="宋体" w:eastAsia="宋体" w:cs="宋体"/>
          <w:sz w:val="18"/>
          <w:szCs w:val="18"/>
          <w:lang w:eastAsia="zh-CN"/>
        </w:rPr>
        <w:t>：</w:t>
      </w:r>
      <w:r>
        <w:rPr>
          <w:rFonts w:hint="eastAsia" w:ascii="宋体" w:hAnsi="宋体" w:eastAsia="宋体" w:cs="宋体"/>
          <w:sz w:val="18"/>
          <w:szCs w:val="18"/>
        </w:rPr>
        <w:t>28-31</w:t>
      </w:r>
      <w:r>
        <w:rPr>
          <w:rFonts w:hint="eastAsia" w:ascii="宋体" w:hAnsi="宋体" w:eastAsia="宋体" w:cs="宋体"/>
          <w:sz w:val="18"/>
          <w:szCs w:val="18"/>
          <w:lang w:eastAsia="zh-CN"/>
        </w:rPr>
        <w:t>，</w:t>
      </w:r>
      <w:r>
        <w:rPr>
          <w:rFonts w:hint="eastAsia" w:ascii="宋体" w:hAnsi="宋体" w:eastAsia="宋体" w:cs="宋体"/>
          <w:sz w:val="18"/>
          <w:szCs w:val="18"/>
        </w:rPr>
        <w:t>36.</w:t>
      </w:r>
      <w:bookmarkEnd w:id="8"/>
      <w:r>
        <w:rPr>
          <w:rFonts w:hint="eastAsia" w:ascii="宋体" w:hAnsi="宋体" w:eastAsia="宋体" w:cs="宋体"/>
          <w:sz w:val="18"/>
          <w:szCs w:val="18"/>
        </w:rPr>
        <w:t xml:space="preserve"> </w:t>
      </w:r>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r>
        <w:rPr>
          <w:rFonts w:hint="eastAsia" w:ascii="宋体" w:hAnsi="宋体" w:eastAsia="宋体" w:cs="宋体"/>
          <w:sz w:val="18"/>
          <w:szCs w:val="18"/>
        </w:rPr>
        <w:t>SHEN Junmin</w:t>
      </w:r>
      <w:r>
        <w:rPr>
          <w:rFonts w:hint="eastAsia" w:ascii="宋体" w:hAnsi="宋体" w:eastAsia="宋体" w:cs="宋体"/>
          <w:sz w:val="18"/>
          <w:szCs w:val="18"/>
          <w:lang w:eastAsia="zh-CN"/>
        </w:rPr>
        <w:t>，</w:t>
      </w:r>
      <w:r>
        <w:rPr>
          <w:rFonts w:hint="eastAsia" w:ascii="宋体" w:hAnsi="宋体" w:eastAsia="宋体" w:cs="宋体"/>
          <w:sz w:val="18"/>
          <w:szCs w:val="18"/>
        </w:rPr>
        <w:t>ZHANG Jun</w:t>
      </w:r>
      <w:r>
        <w:rPr>
          <w:rFonts w:hint="eastAsia" w:ascii="宋体" w:hAnsi="宋体" w:eastAsia="宋体" w:cs="宋体"/>
          <w:sz w:val="18"/>
          <w:szCs w:val="18"/>
          <w:lang w:eastAsia="zh-CN"/>
        </w:rPr>
        <w:t>，</w:t>
      </w:r>
      <w:r>
        <w:rPr>
          <w:rFonts w:hint="eastAsia" w:ascii="宋体" w:hAnsi="宋体" w:eastAsia="宋体" w:cs="宋体"/>
          <w:sz w:val="18"/>
          <w:szCs w:val="18"/>
        </w:rPr>
        <w:t>ZHAO Jianbin</w:t>
      </w:r>
      <w:r>
        <w:rPr>
          <w:rFonts w:hint="eastAsia" w:ascii="宋体" w:hAnsi="宋体" w:eastAsia="宋体" w:cs="宋体"/>
          <w:sz w:val="18"/>
          <w:szCs w:val="18"/>
          <w:lang w:eastAsia="zh-CN"/>
        </w:rPr>
        <w:t>，</w:t>
      </w:r>
      <w:r>
        <w:rPr>
          <w:rFonts w:hint="eastAsia" w:ascii="宋体" w:hAnsi="宋体" w:eastAsia="宋体" w:cs="宋体"/>
          <w:sz w:val="18"/>
          <w:szCs w:val="18"/>
        </w:rPr>
        <w:t>et al. Calculation of geogrid ｒeinforced for alleviating bump at bridge approach[J]. Journal of Zhengzhou University (Engineering Science)</w:t>
      </w:r>
      <w:r>
        <w:rPr>
          <w:rFonts w:hint="eastAsia" w:ascii="宋体" w:hAnsi="宋体" w:eastAsia="宋体" w:cs="宋体"/>
          <w:sz w:val="18"/>
          <w:szCs w:val="18"/>
          <w:lang w:eastAsia="zh-CN"/>
        </w:rPr>
        <w:t>，</w:t>
      </w:r>
      <w:r>
        <w:rPr>
          <w:rFonts w:hint="eastAsia" w:ascii="宋体" w:hAnsi="宋体" w:eastAsia="宋体" w:cs="宋体"/>
          <w:sz w:val="18"/>
          <w:szCs w:val="18"/>
        </w:rPr>
        <w:t>2014</w:t>
      </w:r>
      <w:r>
        <w:rPr>
          <w:rFonts w:hint="eastAsia" w:ascii="宋体" w:hAnsi="宋体" w:eastAsia="宋体" w:cs="宋体"/>
          <w:sz w:val="18"/>
          <w:szCs w:val="18"/>
          <w:lang w:eastAsia="zh-CN"/>
        </w:rPr>
        <w:t>，</w:t>
      </w:r>
      <w:r>
        <w:rPr>
          <w:rFonts w:hint="eastAsia" w:ascii="宋体" w:hAnsi="宋体" w:eastAsia="宋体" w:cs="宋体"/>
          <w:sz w:val="18"/>
          <w:szCs w:val="18"/>
        </w:rPr>
        <w:t>35(2)</w:t>
      </w:r>
      <w:r>
        <w:rPr>
          <w:rFonts w:hint="eastAsia" w:ascii="宋体" w:hAnsi="宋体" w:eastAsia="宋体" w:cs="宋体"/>
          <w:sz w:val="18"/>
          <w:szCs w:val="18"/>
          <w:lang w:eastAsia="zh-CN"/>
        </w:rPr>
        <w:t>：</w:t>
      </w:r>
      <w:r>
        <w:rPr>
          <w:rFonts w:hint="eastAsia" w:ascii="宋体" w:hAnsi="宋体" w:eastAsia="宋体" w:cs="宋体"/>
          <w:sz w:val="18"/>
          <w:szCs w:val="18"/>
        </w:rPr>
        <w:t>28-31</w:t>
      </w:r>
      <w:r>
        <w:rPr>
          <w:rFonts w:hint="eastAsia" w:ascii="宋体" w:hAnsi="宋体" w:eastAsia="宋体" w:cs="宋体"/>
          <w:sz w:val="18"/>
          <w:szCs w:val="18"/>
          <w:lang w:eastAsia="zh-CN"/>
        </w:rPr>
        <w:t>，</w:t>
      </w:r>
      <w:r>
        <w:rPr>
          <w:rFonts w:hint="eastAsia" w:ascii="宋体" w:hAnsi="宋体" w:eastAsia="宋体" w:cs="宋体"/>
          <w:sz w:val="18"/>
          <w:szCs w:val="18"/>
        </w:rPr>
        <w:t>36.</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9" w:name="_Ref54268675"/>
      <w:r>
        <w:rPr>
          <w:rFonts w:hint="eastAsia" w:ascii="宋体" w:hAnsi="宋体" w:eastAsia="宋体" w:cs="宋体"/>
          <w:sz w:val="18"/>
          <w:szCs w:val="18"/>
          <w:lang w:val="en-US" w:eastAsia="zh-CN"/>
        </w:rPr>
        <w:t xml:space="preserve">[4] </w:t>
      </w:r>
      <w:r>
        <w:rPr>
          <w:rFonts w:hint="eastAsia" w:ascii="宋体" w:hAnsi="宋体" w:eastAsia="宋体" w:cs="宋体"/>
          <w:sz w:val="18"/>
          <w:szCs w:val="18"/>
        </w:rPr>
        <w:t>项贻强</w:t>
      </w:r>
      <w:r>
        <w:rPr>
          <w:rFonts w:hint="eastAsia" w:ascii="宋体" w:hAnsi="宋体" w:eastAsia="宋体" w:cs="宋体"/>
          <w:sz w:val="18"/>
          <w:szCs w:val="18"/>
          <w:lang w:eastAsia="zh-CN"/>
        </w:rPr>
        <w:t>，</w:t>
      </w:r>
      <w:r>
        <w:rPr>
          <w:rFonts w:hint="eastAsia" w:ascii="宋体" w:hAnsi="宋体" w:eastAsia="宋体" w:cs="宋体"/>
          <w:sz w:val="18"/>
          <w:szCs w:val="18"/>
        </w:rPr>
        <w:t>孙筠.深层混凝土搭板处治路桥过渡段的动力响应[J]. 浙江大学学报(工学版)</w:t>
      </w:r>
      <w:r>
        <w:rPr>
          <w:rFonts w:hint="eastAsia" w:ascii="宋体" w:hAnsi="宋体" w:eastAsia="宋体" w:cs="宋体"/>
          <w:sz w:val="18"/>
          <w:szCs w:val="18"/>
          <w:lang w:eastAsia="zh-CN"/>
        </w:rPr>
        <w:t>，</w:t>
      </w:r>
      <w:r>
        <w:rPr>
          <w:rFonts w:hint="eastAsia" w:ascii="宋体" w:hAnsi="宋体" w:eastAsia="宋体" w:cs="宋体"/>
          <w:sz w:val="18"/>
          <w:szCs w:val="18"/>
        </w:rPr>
        <w:t>2010</w:t>
      </w:r>
      <w:r>
        <w:rPr>
          <w:rFonts w:hint="eastAsia" w:ascii="宋体" w:hAnsi="宋体" w:eastAsia="宋体" w:cs="宋体"/>
          <w:sz w:val="18"/>
          <w:szCs w:val="18"/>
          <w:lang w:eastAsia="zh-CN"/>
        </w:rPr>
        <w:t>，</w:t>
      </w:r>
      <w:r>
        <w:rPr>
          <w:rFonts w:hint="eastAsia" w:ascii="宋体" w:hAnsi="宋体" w:eastAsia="宋体" w:cs="宋体"/>
          <w:sz w:val="18"/>
          <w:szCs w:val="18"/>
        </w:rPr>
        <w:t xml:space="preserve"> 44(10)</w:t>
      </w:r>
      <w:r>
        <w:rPr>
          <w:rFonts w:hint="eastAsia" w:ascii="宋体" w:hAnsi="宋体" w:eastAsia="宋体" w:cs="宋体"/>
          <w:sz w:val="18"/>
          <w:szCs w:val="18"/>
          <w:lang w:eastAsia="zh-CN"/>
        </w:rPr>
        <w:t>：</w:t>
      </w:r>
      <w:r>
        <w:rPr>
          <w:rFonts w:hint="eastAsia" w:ascii="宋体" w:hAnsi="宋体" w:eastAsia="宋体" w:cs="宋体"/>
          <w:sz w:val="18"/>
          <w:szCs w:val="18"/>
        </w:rPr>
        <w:t>1863-1869.</w:t>
      </w:r>
      <w:bookmarkEnd w:id="9"/>
      <w:r>
        <w:rPr>
          <w:rFonts w:hint="eastAsia" w:ascii="宋体" w:hAnsi="宋体" w:eastAsia="宋体" w:cs="宋体"/>
          <w:sz w:val="18"/>
          <w:szCs w:val="18"/>
        </w:rPr>
        <w:t xml:space="preserve"> </w:t>
      </w:r>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r>
        <w:rPr>
          <w:rFonts w:hint="eastAsia" w:ascii="宋体" w:hAnsi="宋体" w:eastAsia="宋体" w:cs="宋体"/>
          <w:sz w:val="18"/>
          <w:szCs w:val="18"/>
        </w:rPr>
        <w:t>XIA Yiqiang</w:t>
      </w:r>
      <w:r>
        <w:rPr>
          <w:rFonts w:hint="eastAsia" w:ascii="宋体" w:hAnsi="宋体" w:eastAsia="宋体" w:cs="宋体"/>
          <w:sz w:val="18"/>
          <w:szCs w:val="18"/>
          <w:lang w:eastAsia="zh-CN"/>
        </w:rPr>
        <w:t>，</w:t>
      </w:r>
      <w:r>
        <w:rPr>
          <w:rFonts w:hint="eastAsia" w:ascii="宋体" w:hAnsi="宋体" w:eastAsia="宋体" w:cs="宋体"/>
          <w:sz w:val="18"/>
          <w:szCs w:val="18"/>
        </w:rPr>
        <w:t>SUN Yun. Dynamic response of bridge approach treated with deep-seated concrete slab[J]. Journal of Zhejiang University (Engineering Science)</w:t>
      </w:r>
      <w:r>
        <w:rPr>
          <w:rFonts w:hint="eastAsia" w:ascii="宋体" w:hAnsi="宋体" w:eastAsia="宋体" w:cs="宋体"/>
          <w:sz w:val="18"/>
          <w:szCs w:val="18"/>
          <w:lang w:eastAsia="zh-CN"/>
        </w:rPr>
        <w:t>，</w:t>
      </w:r>
      <w:r>
        <w:rPr>
          <w:rFonts w:hint="eastAsia" w:ascii="宋体" w:hAnsi="宋体" w:eastAsia="宋体" w:cs="宋体"/>
          <w:sz w:val="18"/>
          <w:szCs w:val="18"/>
        </w:rPr>
        <w:t>2010</w:t>
      </w:r>
      <w:r>
        <w:rPr>
          <w:rFonts w:hint="eastAsia" w:ascii="宋体" w:hAnsi="宋体" w:eastAsia="宋体" w:cs="宋体"/>
          <w:sz w:val="18"/>
          <w:szCs w:val="18"/>
          <w:lang w:eastAsia="zh-CN"/>
        </w:rPr>
        <w:t>，</w:t>
      </w:r>
      <w:r>
        <w:rPr>
          <w:rFonts w:hint="eastAsia" w:ascii="宋体" w:hAnsi="宋体" w:eastAsia="宋体" w:cs="宋体"/>
          <w:sz w:val="18"/>
          <w:szCs w:val="18"/>
        </w:rPr>
        <w:t>44(10)</w:t>
      </w:r>
      <w:r>
        <w:rPr>
          <w:rFonts w:hint="eastAsia" w:ascii="宋体" w:hAnsi="宋体" w:eastAsia="宋体" w:cs="宋体"/>
          <w:sz w:val="18"/>
          <w:szCs w:val="18"/>
          <w:lang w:eastAsia="zh-CN"/>
        </w:rPr>
        <w:t>：</w:t>
      </w:r>
      <w:r>
        <w:rPr>
          <w:rFonts w:hint="eastAsia" w:ascii="宋体" w:hAnsi="宋体" w:eastAsia="宋体" w:cs="宋体"/>
          <w:sz w:val="18"/>
          <w:szCs w:val="18"/>
        </w:rPr>
        <w:t xml:space="preserve">1863-1869. </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10" w:name="_Ref54268692"/>
      <w:bookmarkEnd w:id="10"/>
      <w:bookmarkStart w:id="11" w:name="_Ref54271718"/>
      <w:r>
        <w:rPr>
          <w:rFonts w:hint="eastAsia" w:ascii="宋体" w:hAnsi="宋体" w:eastAsia="宋体" w:cs="宋体"/>
          <w:sz w:val="18"/>
          <w:szCs w:val="18"/>
          <w:lang w:val="en-US" w:eastAsia="zh-CN"/>
        </w:rPr>
        <w:t xml:space="preserve">[5] </w:t>
      </w:r>
      <w:r>
        <w:rPr>
          <w:rFonts w:hint="eastAsia" w:ascii="宋体" w:hAnsi="宋体" w:eastAsia="宋体" w:cs="宋体"/>
          <w:sz w:val="18"/>
          <w:szCs w:val="18"/>
        </w:rPr>
        <w:t>郑士暄</w:t>
      </w:r>
      <w:r>
        <w:rPr>
          <w:rFonts w:hint="eastAsia" w:ascii="宋体" w:hAnsi="宋体" w:eastAsia="宋体" w:cs="宋体"/>
          <w:sz w:val="18"/>
          <w:szCs w:val="18"/>
          <w:lang w:eastAsia="zh-CN"/>
        </w:rPr>
        <w:t>，</w:t>
      </w:r>
      <w:r>
        <w:rPr>
          <w:rFonts w:hint="eastAsia" w:ascii="宋体" w:hAnsi="宋体" w:eastAsia="宋体" w:cs="宋体"/>
          <w:sz w:val="18"/>
          <w:szCs w:val="18"/>
        </w:rPr>
        <w:t>胡胜飞. 杭甬高速公路桥头跳车的处理[J]. 公路</w:t>
      </w:r>
      <w:r>
        <w:rPr>
          <w:rFonts w:hint="eastAsia" w:ascii="宋体" w:hAnsi="宋体" w:eastAsia="宋体" w:cs="宋体"/>
          <w:sz w:val="18"/>
          <w:szCs w:val="18"/>
          <w:lang w:eastAsia="zh-CN"/>
        </w:rPr>
        <w:t>，</w:t>
      </w:r>
      <w:r>
        <w:rPr>
          <w:rFonts w:hint="eastAsia" w:ascii="宋体" w:hAnsi="宋体" w:eastAsia="宋体" w:cs="宋体"/>
          <w:sz w:val="18"/>
          <w:szCs w:val="18"/>
        </w:rPr>
        <w:t>2003(增1)</w:t>
      </w:r>
      <w:r>
        <w:rPr>
          <w:rFonts w:hint="eastAsia" w:ascii="宋体" w:hAnsi="宋体" w:eastAsia="宋体" w:cs="宋体"/>
          <w:sz w:val="18"/>
          <w:szCs w:val="18"/>
          <w:lang w:eastAsia="zh-CN"/>
        </w:rPr>
        <w:t>：</w:t>
      </w:r>
      <w:r>
        <w:rPr>
          <w:rFonts w:hint="eastAsia" w:ascii="宋体" w:hAnsi="宋体" w:eastAsia="宋体" w:cs="宋体"/>
          <w:sz w:val="18"/>
          <w:szCs w:val="18"/>
        </w:rPr>
        <w:t>45-48.</w:t>
      </w:r>
      <w:bookmarkEnd w:id="11"/>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r>
        <w:rPr>
          <w:rFonts w:hint="eastAsia" w:ascii="宋体" w:hAnsi="宋体" w:eastAsia="宋体" w:cs="宋体"/>
          <w:sz w:val="18"/>
          <w:szCs w:val="18"/>
        </w:rPr>
        <w:t>ZHENG Shixuan</w:t>
      </w:r>
      <w:r>
        <w:rPr>
          <w:rFonts w:hint="eastAsia" w:ascii="宋体" w:hAnsi="宋体" w:eastAsia="宋体" w:cs="宋体"/>
          <w:sz w:val="18"/>
          <w:szCs w:val="18"/>
          <w:lang w:eastAsia="zh-CN"/>
        </w:rPr>
        <w:t>，</w:t>
      </w:r>
      <w:r>
        <w:rPr>
          <w:rFonts w:hint="eastAsia" w:ascii="宋体" w:hAnsi="宋体" w:eastAsia="宋体" w:cs="宋体"/>
          <w:sz w:val="18"/>
          <w:szCs w:val="18"/>
        </w:rPr>
        <w:t>HU Shengfei. Treatment of bump at bridge head of hangzhou ningbo expressway[J]. Highway</w:t>
      </w:r>
      <w:r>
        <w:rPr>
          <w:rFonts w:hint="eastAsia" w:ascii="宋体" w:hAnsi="宋体" w:eastAsia="宋体" w:cs="宋体"/>
          <w:sz w:val="18"/>
          <w:szCs w:val="18"/>
          <w:lang w:eastAsia="zh-CN"/>
        </w:rPr>
        <w:t>，</w:t>
      </w:r>
      <w:r>
        <w:rPr>
          <w:rFonts w:hint="eastAsia" w:ascii="宋体" w:hAnsi="宋体" w:eastAsia="宋体" w:cs="宋体"/>
          <w:sz w:val="18"/>
          <w:szCs w:val="18"/>
        </w:rPr>
        <w:t>2003(Supp1)</w:t>
      </w:r>
      <w:r>
        <w:rPr>
          <w:rFonts w:hint="eastAsia" w:ascii="宋体" w:hAnsi="宋体" w:eastAsia="宋体" w:cs="宋体"/>
          <w:sz w:val="18"/>
          <w:szCs w:val="18"/>
          <w:lang w:eastAsia="zh-CN"/>
        </w:rPr>
        <w:t>：</w:t>
      </w:r>
      <w:r>
        <w:rPr>
          <w:rFonts w:hint="eastAsia" w:ascii="宋体" w:hAnsi="宋体" w:eastAsia="宋体" w:cs="宋体"/>
          <w:sz w:val="18"/>
          <w:szCs w:val="18"/>
        </w:rPr>
        <w:t>45-48.</w:t>
      </w:r>
      <w:bookmarkStart w:id="12" w:name="_Ref54527943"/>
      <w:bookmarkStart w:id="13" w:name="_Ref54271807"/>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14" w:name="_Ref54726474"/>
      <w:bookmarkStart w:id="15" w:name="_Ref54529416"/>
      <w:r>
        <w:rPr>
          <w:rFonts w:hint="eastAsia" w:ascii="宋体" w:hAnsi="宋体" w:eastAsia="宋体" w:cs="宋体"/>
          <w:sz w:val="18"/>
          <w:szCs w:val="18"/>
          <w:lang w:val="en-US" w:eastAsia="zh-CN"/>
        </w:rPr>
        <w:t xml:space="preserve">[6] </w:t>
      </w:r>
      <w:r>
        <w:rPr>
          <w:rFonts w:hint="eastAsia" w:ascii="宋体" w:hAnsi="宋体" w:eastAsia="宋体" w:cs="宋体"/>
          <w:sz w:val="18"/>
          <w:szCs w:val="18"/>
        </w:rPr>
        <w:t>YANG S</w:t>
      </w:r>
      <w:r>
        <w:rPr>
          <w:rFonts w:hint="eastAsia" w:ascii="宋体" w:hAnsi="宋体" w:eastAsia="宋体" w:cs="宋体"/>
          <w:sz w:val="18"/>
          <w:szCs w:val="18"/>
          <w:lang w:eastAsia="zh-CN"/>
        </w:rPr>
        <w:t>，</w:t>
      </w:r>
      <w:r>
        <w:rPr>
          <w:rFonts w:hint="eastAsia" w:ascii="宋体" w:hAnsi="宋体" w:eastAsia="宋体" w:cs="宋体"/>
          <w:sz w:val="18"/>
          <w:szCs w:val="18"/>
        </w:rPr>
        <w:t>WANG M</w:t>
      </w:r>
      <w:r>
        <w:rPr>
          <w:rFonts w:hint="eastAsia" w:ascii="宋体" w:hAnsi="宋体" w:eastAsia="宋体" w:cs="宋体"/>
          <w:sz w:val="18"/>
          <w:szCs w:val="18"/>
          <w:lang w:eastAsia="zh-CN"/>
        </w:rPr>
        <w:t>，</w:t>
      </w:r>
      <w:r>
        <w:rPr>
          <w:rFonts w:hint="eastAsia" w:ascii="宋体" w:hAnsi="宋体" w:eastAsia="宋体" w:cs="宋体"/>
          <w:sz w:val="18"/>
          <w:szCs w:val="18"/>
        </w:rPr>
        <w:t>DU J</w:t>
      </w:r>
      <w:r>
        <w:rPr>
          <w:rFonts w:hint="eastAsia" w:ascii="宋体" w:hAnsi="宋体" w:eastAsia="宋体" w:cs="宋体"/>
          <w:sz w:val="18"/>
          <w:szCs w:val="18"/>
          <w:lang w:eastAsia="zh-CN"/>
        </w:rPr>
        <w:t>，</w:t>
      </w:r>
      <w:r>
        <w:rPr>
          <w:rFonts w:hint="eastAsia" w:ascii="宋体" w:hAnsi="宋体" w:eastAsia="宋体" w:cs="宋体"/>
          <w:sz w:val="18"/>
          <w:szCs w:val="18"/>
        </w:rPr>
        <w:t>et al. Research of jacking force of densely arranged pipe jacks process in pipe-roof pre-construction method[J]. Tunnelling and Underground Space Technology</w:t>
      </w:r>
      <w:r>
        <w:rPr>
          <w:rFonts w:hint="eastAsia" w:ascii="宋体" w:hAnsi="宋体" w:eastAsia="宋体" w:cs="宋体"/>
          <w:sz w:val="18"/>
          <w:szCs w:val="18"/>
          <w:lang w:eastAsia="zh-CN"/>
        </w:rPr>
        <w:t>，</w:t>
      </w:r>
      <w:r>
        <w:rPr>
          <w:rFonts w:hint="eastAsia" w:ascii="宋体" w:hAnsi="宋体" w:eastAsia="宋体" w:cs="宋体"/>
          <w:sz w:val="18"/>
          <w:szCs w:val="18"/>
        </w:rPr>
        <w:t>2020</w:t>
      </w:r>
      <w:r>
        <w:rPr>
          <w:rFonts w:hint="eastAsia" w:ascii="宋体" w:hAnsi="宋体" w:eastAsia="宋体" w:cs="宋体"/>
          <w:sz w:val="18"/>
          <w:szCs w:val="18"/>
          <w:lang w:eastAsia="zh-CN"/>
        </w:rPr>
        <w:t>，</w:t>
      </w:r>
      <w:r>
        <w:rPr>
          <w:rFonts w:hint="eastAsia" w:ascii="宋体" w:hAnsi="宋体" w:eastAsia="宋体" w:cs="宋体"/>
          <w:sz w:val="18"/>
          <w:szCs w:val="18"/>
        </w:rPr>
        <w:t>97</w:t>
      </w:r>
      <w:bookmarkEnd w:id="14"/>
      <w:r>
        <w:rPr>
          <w:rFonts w:hint="eastAsia" w:ascii="宋体" w:hAnsi="宋体" w:eastAsia="宋体" w:cs="宋体"/>
          <w:sz w:val="18"/>
          <w:szCs w:val="18"/>
          <w:lang w:eastAsia="zh-CN"/>
        </w:rPr>
        <w:t>：</w:t>
      </w:r>
      <w:r>
        <w:rPr>
          <w:rFonts w:hint="eastAsia" w:ascii="宋体" w:hAnsi="宋体" w:eastAsia="宋体" w:cs="宋体"/>
          <w:sz w:val="18"/>
          <w:szCs w:val="18"/>
        </w:rPr>
        <w:t>103277.1-103277.10.</w:t>
      </w:r>
    </w:p>
    <w:bookmarkEnd w:id="12"/>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16" w:name="_Ref54726518"/>
      <w:r>
        <w:rPr>
          <w:rFonts w:hint="eastAsia" w:ascii="宋体" w:hAnsi="宋体" w:eastAsia="宋体" w:cs="宋体"/>
          <w:sz w:val="18"/>
          <w:szCs w:val="18"/>
          <w:lang w:val="en-US" w:eastAsia="zh-CN"/>
        </w:rPr>
        <w:t xml:space="preserve">[7] </w:t>
      </w:r>
      <w:r>
        <w:rPr>
          <w:rFonts w:hint="eastAsia" w:ascii="宋体" w:hAnsi="宋体" w:eastAsia="宋体" w:cs="宋体"/>
          <w:sz w:val="18"/>
          <w:szCs w:val="18"/>
        </w:rPr>
        <w:t>YANG X</w:t>
      </w:r>
      <w:r>
        <w:rPr>
          <w:rFonts w:hint="eastAsia" w:ascii="宋体" w:hAnsi="宋体" w:eastAsia="宋体" w:cs="宋体"/>
          <w:sz w:val="18"/>
          <w:szCs w:val="18"/>
          <w:lang w:eastAsia="zh-CN"/>
        </w:rPr>
        <w:t>，</w:t>
      </w:r>
      <w:r>
        <w:rPr>
          <w:rFonts w:hint="eastAsia" w:ascii="宋体" w:hAnsi="宋体" w:eastAsia="宋体" w:cs="宋体"/>
          <w:sz w:val="18"/>
          <w:szCs w:val="18"/>
        </w:rPr>
        <w:t>LIU Y</w:t>
      </w:r>
      <w:r>
        <w:rPr>
          <w:rFonts w:hint="eastAsia" w:ascii="宋体" w:hAnsi="宋体" w:eastAsia="宋体" w:cs="宋体"/>
          <w:sz w:val="18"/>
          <w:szCs w:val="18"/>
          <w:lang w:eastAsia="zh-CN"/>
        </w:rPr>
        <w:t>，</w:t>
      </w:r>
      <w:r>
        <w:rPr>
          <w:rFonts w:hint="eastAsia" w:ascii="宋体" w:hAnsi="宋体" w:eastAsia="宋体" w:cs="宋体"/>
          <w:sz w:val="18"/>
          <w:szCs w:val="18"/>
        </w:rPr>
        <w:t>YANG C. Research on the slurry for long-distance large-diameter pipe jacking in expansive soil[J]. Advances in Civil Engineering</w:t>
      </w:r>
      <w:r>
        <w:rPr>
          <w:rFonts w:hint="eastAsia" w:ascii="宋体" w:hAnsi="宋体" w:eastAsia="宋体" w:cs="宋体"/>
          <w:sz w:val="18"/>
          <w:szCs w:val="18"/>
          <w:lang w:eastAsia="zh-CN"/>
        </w:rPr>
        <w:t>，</w:t>
      </w:r>
      <w:r>
        <w:rPr>
          <w:rFonts w:hint="eastAsia" w:ascii="宋体" w:hAnsi="宋体" w:eastAsia="宋体" w:cs="宋体"/>
          <w:sz w:val="18"/>
          <w:szCs w:val="18"/>
        </w:rPr>
        <w:t>2018</w:t>
      </w:r>
      <w:r>
        <w:rPr>
          <w:rFonts w:hint="eastAsia" w:ascii="宋体" w:hAnsi="宋体" w:eastAsia="宋体" w:cs="宋体"/>
          <w:sz w:val="18"/>
          <w:szCs w:val="18"/>
          <w:lang w:eastAsia="zh-CN"/>
        </w:rPr>
        <w:t>：</w:t>
      </w:r>
      <w:r>
        <w:rPr>
          <w:rFonts w:hint="eastAsia" w:ascii="宋体" w:hAnsi="宋体" w:eastAsia="宋体" w:cs="宋体"/>
          <w:sz w:val="18"/>
          <w:szCs w:val="18"/>
        </w:rPr>
        <w:t>1-9.</w:t>
      </w:r>
      <w:bookmarkEnd w:id="15"/>
      <w:bookmarkEnd w:id="16"/>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17" w:name="_Ref54528070"/>
      <w:r>
        <w:rPr>
          <w:rFonts w:hint="eastAsia" w:ascii="宋体" w:hAnsi="宋体" w:eastAsia="宋体" w:cs="宋体"/>
          <w:sz w:val="18"/>
          <w:szCs w:val="18"/>
          <w:lang w:val="en-US" w:eastAsia="zh-CN"/>
        </w:rPr>
        <w:t xml:space="preserve">[8] </w:t>
      </w:r>
      <w:r>
        <w:rPr>
          <w:rFonts w:hint="eastAsia" w:ascii="宋体" w:hAnsi="宋体" w:eastAsia="宋体" w:cs="宋体"/>
          <w:sz w:val="18"/>
          <w:szCs w:val="18"/>
        </w:rPr>
        <w:t>江正潭</w:t>
      </w:r>
      <w:r>
        <w:rPr>
          <w:rFonts w:hint="eastAsia" w:ascii="宋体" w:hAnsi="宋体" w:eastAsia="宋体" w:cs="宋体"/>
          <w:sz w:val="18"/>
          <w:szCs w:val="18"/>
          <w:lang w:eastAsia="zh-CN"/>
        </w:rPr>
        <w:t>，</w:t>
      </w:r>
      <w:r>
        <w:rPr>
          <w:rFonts w:hint="eastAsia" w:ascii="宋体" w:hAnsi="宋体" w:eastAsia="宋体" w:cs="宋体"/>
          <w:sz w:val="18"/>
          <w:szCs w:val="18"/>
        </w:rPr>
        <w:t>蒋云昕. 顶管减载在处理桥头路基沉降中的应用[J]. 科技创新导报</w:t>
      </w:r>
      <w:r>
        <w:rPr>
          <w:rFonts w:hint="eastAsia" w:ascii="宋体" w:hAnsi="宋体" w:eastAsia="宋体" w:cs="宋体"/>
          <w:sz w:val="18"/>
          <w:szCs w:val="18"/>
          <w:lang w:eastAsia="zh-CN"/>
        </w:rPr>
        <w:t>，</w:t>
      </w:r>
      <w:r>
        <w:rPr>
          <w:rFonts w:hint="eastAsia" w:ascii="宋体" w:hAnsi="宋体" w:eastAsia="宋体" w:cs="宋体"/>
          <w:sz w:val="18"/>
          <w:szCs w:val="18"/>
        </w:rPr>
        <w:t>2018(10)</w:t>
      </w:r>
      <w:r>
        <w:rPr>
          <w:rFonts w:hint="eastAsia" w:ascii="宋体" w:hAnsi="宋体" w:eastAsia="宋体" w:cs="宋体"/>
          <w:sz w:val="18"/>
          <w:szCs w:val="18"/>
          <w:lang w:eastAsia="zh-CN"/>
        </w:rPr>
        <w:t>：</w:t>
      </w:r>
      <w:r>
        <w:rPr>
          <w:rFonts w:hint="eastAsia" w:ascii="宋体" w:hAnsi="宋体" w:eastAsia="宋体" w:cs="宋体"/>
          <w:sz w:val="18"/>
          <w:szCs w:val="18"/>
        </w:rPr>
        <w:t>69-70</w:t>
      </w:r>
      <w:r>
        <w:rPr>
          <w:rFonts w:hint="eastAsia" w:ascii="宋体" w:hAnsi="宋体" w:eastAsia="宋体" w:cs="宋体"/>
          <w:sz w:val="18"/>
          <w:szCs w:val="18"/>
          <w:lang w:eastAsia="zh-CN"/>
        </w:rPr>
        <w:t>，</w:t>
      </w:r>
      <w:r>
        <w:rPr>
          <w:rFonts w:hint="eastAsia" w:ascii="宋体" w:hAnsi="宋体" w:eastAsia="宋体" w:cs="宋体"/>
          <w:sz w:val="18"/>
          <w:szCs w:val="18"/>
        </w:rPr>
        <w:t xml:space="preserve"> 72.</w:t>
      </w:r>
      <w:bookmarkEnd w:id="13"/>
      <w:bookmarkEnd w:id="17"/>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r>
        <w:rPr>
          <w:rFonts w:hint="eastAsia" w:ascii="宋体" w:hAnsi="宋体" w:eastAsia="宋体" w:cs="宋体"/>
          <w:sz w:val="18"/>
          <w:szCs w:val="18"/>
        </w:rPr>
        <w:t>JIANG Zhengtan</w:t>
      </w:r>
      <w:r>
        <w:rPr>
          <w:rFonts w:hint="eastAsia" w:ascii="宋体" w:hAnsi="宋体" w:eastAsia="宋体" w:cs="宋体"/>
          <w:sz w:val="18"/>
          <w:szCs w:val="18"/>
          <w:lang w:eastAsia="zh-CN"/>
        </w:rPr>
        <w:t>，</w:t>
      </w:r>
      <w:r>
        <w:rPr>
          <w:rFonts w:hint="eastAsia" w:ascii="宋体" w:hAnsi="宋体" w:eastAsia="宋体" w:cs="宋体"/>
          <w:sz w:val="18"/>
          <w:szCs w:val="18"/>
        </w:rPr>
        <w:t>JIANG Yunxin. Application of pipe jacking and load reduction in treatment of subgrade settlement at bridge head[J]. Science and</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Technology Innovation Guide</w:t>
      </w:r>
      <w:r>
        <w:rPr>
          <w:rFonts w:hint="eastAsia" w:ascii="宋体" w:hAnsi="宋体" w:eastAsia="宋体" w:cs="宋体"/>
          <w:sz w:val="18"/>
          <w:szCs w:val="18"/>
          <w:lang w:eastAsia="zh-CN"/>
        </w:rPr>
        <w:t>，</w:t>
      </w:r>
      <w:r>
        <w:rPr>
          <w:rFonts w:hint="eastAsia" w:ascii="宋体" w:hAnsi="宋体" w:eastAsia="宋体" w:cs="宋体"/>
          <w:sz w:val="18"/>
          <w:szCs w:val="18"/>
        </w:rPr>
        <w:t>2018 (10)</w:t>
      </w:r>
      <w:r>
        <w:rPr>
          <w:rFonts w:hint="eastAsia" w:ascii="宋体" w:hAnsi="宋体" w:eastAsia="宋体" w:cs="宋体"/>
          <w:sz w:val="18"/>
          <w:szCs w:val="18"/>
          <w:lang w:eastAsia="zh-CN"/>
        </w:rPr>
        <w:t>：</w:t>
      </w:r>
      <w:r>
        <w:rPr>
          <w:rFonts w:hint="eastAsia" w:ascii="宋体" w:hAnsi="宋体" w:eastAsia="宋体" w:cs="宋体"/>
          <w:sz w:val="18"/>
          <w:szCs w:val="18"/>
        </w:rPr>
        <w:t>69-70</w:t>
      </w:r>
      <w:r>
        <w:rPr>
          <w:rFonts w:hint="eastAsia" w:ascii="宋体" w:hAnsi="宋体" w:eastAsia="宋体" w:cs="宋体"/>
          <w:sz w:val="18"/>
          <w:szCs w:val="18"/>
          <w:lang w:eastAsia="zh-CN"/>
        </w:rPr>
        <w:t>，</w:t>
      </w:r>
      <w:r>
        <w:rPr>
          <w:rFonts w:hint="eastAsia" w:ascii="宋体" w:hAnsi="宋体" w:eastAsia="宋体" w:cs="宋体"/>
          <w:sz w:val="18"/>
          <w:szCs w:val="18"/>
        </w:rPr>
        <w:t>72.</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18" w:name="_Ref54272437"/>
      <w:r>
        <w:rPr>
          <w:rFonts w:hint="eastAsia" w:ascii="宋体" w:hAnsi="宋体" w:eastAsia="宋体" w:cs="宋体"/>
          <w:sz w:val="18"/>
          <w:szCs w:val="18"/>
          <w:lang w:val="en-US" w:eastAsia="zh-CN"/>
        </w:rPr>
        <w:t xml:space="preserve">[9] </w:t>
      </w:r>
      <w:r>
        <w:rPr>
          <w:rFonts w:hint="eastAsia" w:ascii="宋体" w:hAnsi="宋体" w:eastAsia="宋体" w:cs="宋体"/>
          <w:sz w:val="18"/>
          <w:szCs w:val="18"/>
        </w:rPr>
        <w:t>包龙生</w:t>
      </w:r>
      <w:r>
        <w:rPr>
          <w:rFonts w:hint="eastAsia" w:ascii="宋体" w:hAnsi="宋体" w:eastAsia="宋体" w:cs="宋体"/>
          <w:sz w:val="18"/>
          <w:szCs w:val="18"/>
          <w:lang w:eastAsia="zh-CN"/>
        </w:rPr>
        <w:t>，</w:t>
      </w:r>
      <w:r>
        <w:rPr>
          <w:rFonts w:hint="eastAsia" w:ascii="宋体" w:hAnsi="宋体" w:eastAsia="宋体" w:cs="宋体"/>
          <w:sz w:val="18"/>
          <w:szCs w:val="18"/>
        </w:rPr>
        <w:t>王腾</w:t>
      </w:r>
      <w:r>
        <w:rPr>
          <w:rFonts w:hint="eastAsia" w:ascii="宋体" w:hAnsi="宋体" w:eastAsia="宋体" w:cs="宋体"/>
          <w:sz w:val="18"/>
          <w:szCs w:val="18"/>
          <w:lang w:eastAsia="zh-CN"/>
        </w:rPr>
        <w:t>，</w:t>
      </w:r>
      <w:r>
        <w:rPr>
          <w:rFonts w:hint="eastAsia" w:ascii="宋体" w:hAnsi="宋体" w:eastAsia="宋体" w:cs="宋体"/>
          <w:sz w:val="18"/>
          <w:szCs w:val="18"/>
        </w:rPr>
        <w:t>和海芳</w:t>
      </w:r>
      <w:r>
        <w:rPr>
          <w:rFonts w:hint="eastAsia" w:ascii="宋体" w:hAnsi="宋体" w:eastAsia="宋体" w:cs="宋体"/>
          <w:sz w:val="18"/>
          <w:szCs w:val="18"/>
          <w:lang w:eastAsia="zh-CN"/>
        </w:rPr>
        <w:t>，</w:t>
      </w:r>
      <w:r>
        <w:rPr>
          <w:rFonts w:hint="eastAsia" w:ascii="宋体" w:hAnsi="宋体" w:eastAsia="宋体" w:cs="宋体"/>
          <w:sz w:val="18"/>
          <w:szCs w:val="18"/>
        </w:rPr>
        <w:t>等. 应用管涵处治桥路过渡段差异沉降研究[J]. 沈阳建筑大学学报(自然科学版)</w:t>
      </w:r>
      <w:bookmarkStart w:id="19" w:name="_Hlk54272406"/>
      <w:r>
        <w:rPr>
          <w:rFonts w:hint="eastAsia" w:ascii="宋体" w:hAnsi="宋体" w:eastAsia="宋体" w:cs="宋体"/>
          <w:sz w:val="18"/>
          <w:szCs w:val="18"/>
          <w:lang w:eastAsia="zh-CN"/>
        </w:rPr>
        <w:t>，</w:t>
      </w:r>
      <w:r>
        <w:rPr>
          <w:rFonts w:hint="eastAsia" w:ascii="宋体" w:hAnsi="宋体" w:eastAsia="宋体" w:cs="宋体"/>
          <w:sz w:val="18"/>
          <w:szCs w:val="18"/>
        </w:rPr>
        <w:t>2019</w:t>
      </w:r>
      <w:r>
        <w:rPr>
          <w:rFonts w:hint="eastAsia" w:ascii="宋体" w:hAnsi="宋体" w:eastAsia="宋体" w:cs="宋体"/>
          <w:sz w:val="18"/>
          <w:szCs w:val="18"/>
          <w:lang w:eastAsia="zh-CN"/>
        </w:rPr>
        <w:t>，</w:t>
      </w:r>
      <w:r>
        <w:rPr>
          <w:rFonts w:hint="eastAsia" w:ascii="宋体" w:hAnsi="宋体" w:eastAsia="宋体" w:cs="宋体"/>
          <w:sz w:val="18"/>
          <w:szCs w:val="18"/>
        </w:rPr>
        <w:t>35(3)</w:t>
      </w:r>
      <w:r>
        <w:rPr>
          <w:rFonts w:hint="eastAsia" w:ascii="宋体" w:hAnsi="宋体" w:eastAsia="宋体" w:cs="宋体"/>
          <w:sz w:val="18"/>
          <w:szCs w:val="18"/>
          <w:lang w:eastAsia="zh-CN"/>
        </w:rPr>
        <w:t>：</w:t>
      </w:r>
      <w:r>
        <w:rPr>
          <w:rFonts w:hint="eastAsia" w:ascii="宋体" w:hAnsi="宋体" w:eastAsia="宋体" w:cs="宋体"/>
          <w:sz w:val="18"/>
          <w:szCs w:val="18"/>
        </w:rPr>
        <w:t>495-504.</w:t>
      </w:r>
      <w:bookmarkEnd w:id="18"/>
    </w:p>
    <w:bookmarkEnd w:id="19"/>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r>
        <w:rPr>
          <w:rFonts w:hint="eastAsia" w:ascii="宋体" w:hAnsi="宋体" w:eastAsia="宋体" w:cs="宋体"/>
          <w:sz w:val="18"/>
          <w:szCs w:val="18"/>
        </w:rPr>
        <w:t>BAO Longsheng</w:t>
      </w:r>
      <w:r>
        <w:rPr>
          <w:rFonts w:hint="eastAsia" w:ascii="宋体" w:hAnsi="宋体" w:eastAsia="宋体" w:cs="宋体"/>
          <w:sz w:val="18"/>
          <w:szCs w:val="18"/>
          <w:lang w:eastAsia="zh-CN"/>
        </w:rPr>
        <w:t>，</w:t>
      </w:r>
      <w:r>
        <w:rPr>
          <w:rFonts w:hint="eastAsia" w:ascii="宋体" w:hAnsi="宋体" w:eastAsia="宋体" w:cs="宋体"/>
          <w:sz w:val="18"/>
          <w:szCs w:val="18"/>
        </w:rPr>
        <w:t>WANG Teng</w:t>
      </w:r>
      <w:r>
        <w:rPr>
          <w:rFonts w:hint="eastAsia" w:ascii="宋体" w:hAnsi="宋体" w:eastAsia="宋体" w:cs="宋体"/>
          <w:sz w:val="18"/>
          <w:szCs w:val="18"/>
          <w:lang w:eastAsia="zh-CN"/>
        </w:rPr>
        <w:t>，</w:t>
      </w:r>
      <w:r>
        <w:rPr>
          <w:rFonts w:hint="eastAsia" w:ascii="宋体" w:hAnsi="宋体" w:eastAsia="宋体" w:cs="宋体"/>
          <w:sz w:val="18"/>
          <w:szCs w:val="18"/>
        </w:rPr>
        <w:t>HE Haifang</w:t>
      </w:r>
      <w:r>
        <w:rPr>
          <w:rFonts w:hint="eastAsia" w:ascii="宋体" w:hAnsi="宋体" w:eastAsia="宋体" w:cs="宋体"/>
          <w:sz w:val="18"/>
          <w:szCs w:val="18"/>
          <w:lang w:eastAsia="zh-CN"/>
        </w:rPr>
        <w:t>，</w:t>
      </w:r>
      <w:r>
        <w:rPr>
          <w:rFonts w:hint="eastAsia" w:ascii="宋体" w:hAnsi="宋体" w:eastAsia="宋体" w:cs="宋体"/>
          <w:sz w:val="18"/>
          <w:szCs w:val="18"/>
        </w:rPr>
        <w:t>et al. Differential settlement of bridge transition</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section with culvert[J]. Journal of Shenyang Jianzhu University ( Natural Science)</w:t>
      </w:r>
      <w:r>
        <w:rPr>
          <w:rFonts w:hint="eastAsia" w:ascii="宋体" w:hAnsi="宋体" w:eastAsia="宋体" w:cs="宋体"/>
          <w:sz w:val="18"/>
          <w:szCs w:val="18"/>
          <w:lang w:eastAsia="zh-CN"/>
        </w:rPr>
        <w:t>，</w:t>
      </w:r>
      <w:r>
        <w:rPr>
          <w:rFonts w:hint="eastAsia" w:ascii="宋体" w:hAnsi="宋体" w:eastAsia="宋体" w:cs="宋体"/>
          <w:sz w:val="18"/>
          <w:szCs w:val="18"/>
        </w:rPr>
        <w:t>2019</w:t>
      </w:r>
      <w:r>
        <w:rPr>
          <w:rFonts w:hint="eastAsia" w:ascii="宋体" w:hAnsi="宋体" w:eastAsia="宋体" w:cs="宋体"/>
          <w:sz w:val="18"/>
          <w:szCs w:val="18"/>
          <w:lang w:eastAsia="zh-CN"/>
        </w:rPr>
        <w:t>，</w:t>
      </w:r>
      <w:r>
        <w:rPr>
          <w:rFonts w:hint="eastAsia" w:ascii="宋体" w:hAnsi="宋体" w:eastAsia="宋体" w:cs="宋体"/>
          <w:sz w:val="18"/>
          <w:szCs w:val="18"/>
        </w:rPr>
        <w:t xml:space="preserve"> 35(3)</w:t>
      </w:r>
      <w:r>
        <w:rPr>
          <w:rFonts w:hint="eastAsia" w:ascii="宋体" w:hAnsi="宋体" w:eastAsia="宋体" w:cs="宋体"/>
          <w:sz w:val="18"/>
          <w:szCs w:val="18"/>
          <w:lang w:eastAsia="zh-CN"/>
        </w:rPr>
        <w:t>：</w:t>
      </w:r>
      <w:r>
        <w:rPr>
          <w:rFonts w:hint="eastAsia" w:ascii="宋体" w:hAnsi="宋体" w:eastAsia="宋体" w:cs="宋体"/>
          <w:sz w:val="18"/>
          <w:szCs w:val="18"/>
        </w:rPr>
        <w:t>495-504.</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20" w:name="_Ref54273456"/>
      <w:r>
        <w:rPr>
          <w:rFonts w:hint="eastAsia" w:ascii="宋体" w:hAnsi="宋体" w:eastAsia="宋体" w:cs="宋体"/>
          <w:sz w:val="18"/>
          <w:szCs w:val="18"/>
          <w:lang w:val="en-US" w:eastAsia="zh-CN"/>
        </w:rPr>
        <w:t>[10]</w:t>
      </w:r>
      <w:r>
        <w:rPr>
          <w:rFonts w:hint="eastAsia" w:ascii="宋体" w:hAnsi="宋体" w:eastAsia="宋体" w:cs="宋体"/>
          <w:sz w:val="18"/>
          <w:szCs w:val="18"/>
        </w:rPr>
        <w:t>殷杰.结构性软黏土的修正剑桥模型[J]. 工程力学</w:t>
      </w:r>
      <w:r>
        <w:rPr>
          <w:rFonts w:hint="eastAsia" w:ascii="宋体" w:hAnsi="宋体" w:eastAsia="宋体" w:cs="宋体"/>
          <w:sz w:val="18"/>
          <w:szCs w:val="18"/>
          <w:lang w:eastAsia="zh-CN"/>
        </w:rPr>
        <w:t>，</w:t>
      </w:r>
      <w:r>
        <w:rPr>
          <w:rFonts w:hint="eastAsia" w:ascii="宋体" w:hAnsi="宋体" w:eastAsia="宋体" w:cs="宋体"/>
          <w:sz w:val="18"/>
          <w:szCs w:val="18"/>
        </w:rPr>
        <w:t>2013</w:t>
      </w:r>
      <w:r>
        <w:rPr>
          <w:rFonts w:hint="eastAsia" w:ascii="宋体" w:hAnsi="宋体" w:eastAsia="宋体" w:cs="宋体"/>
          <w:sz w:val="18"/>
          <w:szCs w:val="18"/>
          <w:lang w:eastAsia="zh-CN"/>
        </w:rPr>
        <w:t>，</w:t>
      </w:r>
      <w:r>
        <w:rPr>
          <w:rFonts w:hint="eastAsia" w:ascii="宋体" w:hAnsi="宋体" w:eastAsia="宋体" w:cs="宋体"/>
          <w:sz w:val="18"/>
          <w:szCs w:val="18"/>
        </w:rPr>
        <w:t>30(1)</w:t>
      </w:r>
      <w:r>
        <w:rPr>
          <w:rFonts w:hint="eastAsia" w:ascii="宋体" w:hAnsi="宋体" w:eastAsia="宋体" w:cs="宋体"/>
          <w:sz w:val="18"/>
          <w:szCs w:val="18"/>
          <w:lang w:eastAsia="zh-CN"/>
        </w:rPr>
        <w:t>：</w:t>
      </w:r>
      <w:r>
        <w:rPr>
          <w:rFonts w:hint="eastAsia" w:ascii="宋体" w:hAnsi="宋体" w:eastAsia="宋体" w:cs="宋体"/>
          <w:sz w:val="18"/>
          <w:szCs w:val="18"/>
        </w:rPr>
        <w:t>190-197.</w:t>
      </w:r>
      <w:bookmarkEnd w:id="20"/>
      <w:r>
        <w:rPr>
          <w:rFonts w:hint="eastAsia" w:ascii="宋体" w:hAnsi="宋体" w:eastAsia="宋体" w:cs="宋体"/>
          <w:sz w:val="18"/>
          <w:szCs w:val="18"/>
        </w:rPr>
        <w:t xml:space="preserve"> </w:t>
      </w:r>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r>
        <w:rPr>
          <w:rFonts w:hint="eastAsia" w:ascii="宋体" w:hAnsi="宋体" w:eastAsia="宋体" w:cs="宋体"/>
          <w:sz w:val="18"/>
          <w:szCs w:val="18"/>
        </w:rPr>
        <w:t>YIN Jie. A modified CAM clay model for structured soft calys[J]. Journal of Engineering Mechanics</w:t>
      </w:r>
      <w:r>
        <w:rPr>
          <w:rFonts w:hint="eastAsia" w:ascii="宋体" w:hAnsi="宋体" w:eastAsia="宋体" w:cs="宋体"/>
          <w:sz w:val="18"/>
          <w:szCs w:val="18"/>
          <w:lang w:eastAsia="zh-CN"/>
        </w:rPr>
        <w:t>，</w:t>
      </w:r>
      <w:r>
        <w:rPr>
          <w:rFonts w:hint="eastAsia" w:ascii="宋体" w:hAnsi="宋体" w:eastAsia="宋体" w:cs="宋体"/>
          <w:sz w:val="18"/>
          <w:szCs w:val="18"/>
        </w:rPr>
        <w:t>2013</w:t>
      </w:r>
      <w:r>
        <w:rPr>
          <w:rFonts w:hint="eastAsia" w:ascii="宋体" w:hAnsi="宋体" w:eastAsia="宋体" w:cs="宋体"/>
          <w:sz w:val="18"/>
          <w:szCs w:val="18"/>
          <w:lang w:eastAsia="zh-CN"/>
        </w:rPr>
        <w:t>，</w:t>
      </w:r>
      <w:r>
        <w:rPr>
          <w:rFonts w:hint="eastAsia" w:ascii="宋体" w:hAnsi="宋体" w:eastAsia="宋体" w:cs="宋体"/>
          <w:sz w:val="18"/>
          <w:szCs w:val="18"/>
        </w:rPr>
        <w:t>30(1)</w:t>
      </w:r>
      <w:r>
        <w:rPr>
          <w:rFonts w:hint="eastAsia" w:ascii="宋体" w:hAnsi="宋体" w:eastAsia="宋体" w:cs="宋体"/>
          <w:sz w:val="18"/>
          <w:szCs w:val="18"/>
          <w:lang w:eastAsia="zh-CN"/>
        </w:rPr>
        <w:t>：</w:t>
      </w:r>
      <w:r>
        <w:rPr>
          <w:rFonts w:hint="eastAsia" w:ascii="宋体" w:hAnsi="宋体" w:eastAsia="宋体" w:cs="宋体"/>
          <w:sz w:val="18"/>
          <w:szCs w:val="18"/>
        </w:rPr>
        <w:t xml:space="preserve">190-197. </w:t>
      </w: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21" w:name="_Ref54276619"/>
      <w:bookmarkStart w:id="22" w:name="_Ref54273487"/>
      <w:r>
        <w:rPr>
          <w:rFonts w:hint="eastAsia" w:ascii="宋体" w:hAnsi="宋体" w:eastAsia="宋体" w:cs="宋体"/>
          <w:sz w:val="18"/>
          <w:szCs w:val="18"/>
          <w:lang w:val="en-US" w:eastAsia="zh-CN"/>
        </w:rPr>
        <w:t>[11]</w:t>
      </w:r>
      <w:r>
        <w:rPr>
          <w:rFonts w:hint="eastAsia" w:ascii="宋体" w:hAnsi="宋体" w:eastAsia="宋体" w:cs="宋体"/>
          <w:sz w:val="18"/>
          <w:szCs w:val="18"/>
        </w:rPr>
        <w:t>中国地质大学. 顶管施工技术及验收规范(试行)[</w:t>
      </w:r>
      <w:r>
        <w:rPr>
          <w:rFonts w:hint="eastAsia" w:ascii="宋体" w:hAnsi="宋体" w:eastAsia="宋体" w:cs="宋体"/>
          <w:sz w:val="18"/>
          <w:szCs w:val="18"/>
          <w:lang w:val="en-US" w:eastAsia="zh-CN"/>
        </w:rPr>
        <w:t>S</w:t>
      </w:r>
      <w:r>
        <w:rPr>
          <w:rFonts w:hint="eastAsia" w:ascii="宋体" w:hAnsi="宋体" w:eastAsia="宋体" w:cs="宋体"/>
          <w:sz w:val="18"/>
          <w:szCs w:val="18"/>
        </w:rPr>
        <w:t>]</w:t>
      </w:r>
      <w:r>
        <w:rPr>
          <w:rFonts w:hint="eastAsia" w:ascii="宋体" w:hAnsi="宋体" w:eastAsia="宋体" w:cs="宋体"/>
          <w:sz w:val="18"/>
          <w:szCs w:val="18"/>
          <w:lang w:val="en-US" w:eastAsia="zh-CN"/>
        </w:rPr>
        <w:t>.北京：</w:t>
      </w:r>
      <w:r>
        <w:rPr>
          <w:rFonts w:hint="eastAsia" w:ascii="宋体" w:hAnsi="宋体" w:eastAsia="宋体" w:cs="宋体"/>
          <w:sz w:val="18"/>
          <w:szCs w:val="18"/>
        </w:rPr>
        <w:t>人民交通出版社</w:t>
      </w:r>
      <w:r>
        <w:rPr>
          <w:rFonts w:hint="eastAsia" w:ascii="宋体" w:hAnsi="宋体" w:eastAsia="宋体" w:cs="宋体"/>
          <w:sz w:val="18"/>
          <w:szCs w:val="18"/>
          <w:lang w:eastAsia="zh-CN"/>
        </w:rPr>
        <w:t>，</w:t>
      </w:r>
      <w:r>
        <w:rPr>
          <w:rFonts w:hint="eastAsia" w:ascii="宋体" w:hAnsi="宋体" w:eastAsia="宋体" w:cs="宋体"/>
          <w:sz w:val="18"/>
          <w:szCs w:val="18"/>
        </w:rPr>
        <w:t>2007.</w:t>
      </w:r>
    </w:p>
    <w:p>
      <w:pPr>
        <w:pStyle w:val="1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r>
        <w:rPr>
          <w:rFonts w:hint="eastAsia" w:ascii="宋体" w:hAnsi="宋体" w:eastAsia="宋体" w:cs="宋体"/>
          <w:sz w:val="18"/>
          <w:szCs w:val="18"/>
        </w:rPr>
        <w:t>China University of Geosciences. Pipe jacking construction technology and acceptance specification(Trial)[M]</w:t>
      </w:r>
      <w:r>
        <w:rPr>
          <w:rFonts w:hint="eastAsia" w:ascii="宋体" w:hAnsi="宋体" w:eastAsia="宋体" w:cs="宋体"/>
          <w:sz w:val="18"/>
          <w:szCs w:val="18"/>
          <w:lang w:val="en-US" w:eastAsia="zh-CN"/>
        </w:rPr>
        <w:t>.Beijing：China</w:t>
      </w:r>
      <w:r>
        <w:rPr>
          <w:rFonts w:hint="eastAsia" w:ascii="宋体" w:hAnsi="宋体" w:eastAsia="宋体" w:cs="宋体"/>
          <w:sz w:val="18"/>
          <w:szCs w:val="18"/>
        </w:rPr>
        <w:t xml:space="preserve"> Communications Press</w:t>
      </w:r>
      <w:r>
        <w:rPr>
          <w:rFonts w:hint="eastAsia" w:ascii="宋体" w:hAnsi="宋体" w:eastAsia="宋体" w:cs="宋体"/>
          <w:sz w:val="18"/>
          <w:szCs w:val="18"/>
          <w:lang w:eastAsia="zh-CN"/>
        </w:rPr>
        <w:t>，</w:t>
      </w:r>
      <w:r>
        <w:rPr>
          <w:rFonts w:hint="eastAsia" w:ascii="宋体" w:hAnsi="宋体" w:eastAsia="宋体" w:cs="宋体"/>
          <w:sz w:val="18"/>
          <w:szCs w:val="18"/>
        </w:rPr>
        <w:t>2007.</w:t>
      </w:r>
    </w:p>
    <w:bookmarkEnd w:id="21"/>
    <w:p>
      <w:pPr>
        <w:pStyle w:val="18"/>
        <w:keepNext w:val="0"/>
        <w:keepLines w:val="0"/>
        <w:pageBreakBefore w:val="0"/>
        <w:widowControl w:val="0"/>
        <w:numPr>
          <w:ilvl w:val="0"/>
          <w:numId w:val="1"/>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bookmarkStart w:id="23" w:name="_Ref54276599"/>
      <w:r>
        <w:rPr>
          <w:rFonts w:hint="eastAsia" w:ascii="宋体" w:hAnsi="宋体" w:eastAsia="宋体" w:cs="宋体"/>
          <w:sz w:val="18"/>
          <w:szCs w:val="18"/>
        </w:rPr>
        <w:t>施国军. 顶管下穿高速公路引起路基变形数值模拟分析[J]. 工程与建设</w:t>
      </w:r>
      <w:r>
        <w:rPr>
          <w:rFonts w:hint="eastAsia" w:ascii="宋体" w:hAnsi="宋体" w:eastAsia="宋体" w:cs="宋体"/>
          <w:sz w:val="18"/>
          <w:szCs w:val="18"/>
          <w:lang w:eastAsia="zh-CN"/>
        </w:rPr>
        <w:t>，</w:t>
      </w:r>
      <w:r>
        <w:rPr>
          <w:rFonts w:hint="eastAsia" w:ascii="宋体" w:hAnsi="宋体" w:eastAsia="宋体" w:cs="宋体"/>
          <w:sz w:val="18"/>
          <w:szCs w:val="18"/>
        </w:rPr>
        <w:t>2019(4)</w:t>
      </w:r>
      <w:r>
        <w:rPr>
          <w:rFonts w:hint="eastAsia" w:ascii="宋体" w:hAnsi="宋体" w:eastAsia="宋体" w:cs="宋体"/>
          <w:sz w:val="18"/>
          <w:szCs w:val="18"/>
          <w:lang w:eastAsia="zh-CN"/>
        </w:rPr>
        <w:t>：</w:t>
      </w:r>
      <w:r>
        <w:rPr>
          <w:rFonts w:hint="eastAsia" w:ascii="宋体" w:hAnsi="宋体" w:eastAsia="宋体" w:cs="宋体"/>
          <w:sz w:val="18"/>
          <w:szCs w:val="18"/>
        </w:rPr>
        <w:t>614-615. SHI Guojun. Numerical simulation analysis of subgrade deformation caused by pipe jacking under expressway[J]. Engineering and Construction</w:t>
      </w:r>
      <w:r>
        <w:rPr>
          <w:rFonts w:hint="eastAsia" w:ascii="宋体" w:hAnsi="宋体" w:eastAsia="宋体" w:cs="宋体"/>
          <w:sz w:val="18"/>
          <w:szCs w:val="18"/>
          <w:lang w:eastAsia="zh-CN"/>
        </w:rPr>
        <w:t>，</w:t>
      </w:r>
      <w:r>
        <w:rPr>
          <w:rFonts w:hint="eastAsia" w:ascii="宋体" w:hAnsi="宋体" w:eastAsia="宋体" w:cs="宋体"/>
          <w:sz w:val="18"/>
          <w:szCs w:val="18"/>
        </w:rPr>
        <w:t>2019(4)</w:t>
      </w:r>
      <w:r>
        <w:rPr>
          <w:rFonts w:hint="eastAsia" w:ascii="宋体" w:hAnsi="宋体" w:eastAsia="宋体" w:cs="宋体"/>
          <w:sz w:val="18"/>
          <w:szCs w:val="18"/>
          <w:lang w:eastAsia="zh-CN"/>
        </w:rPr>
        <w:t>：</w:t>
      </w:r>
      <w:r>
        <w:rPr>
          <w:rFonts w:hint="eastAsia" w:ascii="宋体" w:hAnsi="宋体" w:eastAsia="宋体" w:cs="宋体"/>
          <w:sz w:val="18"/>
          <w:szCs w:val="18"/>
        </w:rPr>
        <w:t>614-615.</w:t>
      </w:r>
      <w:bookmarkEnd w:id="22"/>
      <w:bookmarkEnd w:id="23"/>
    </w:p>
    <w:p>
      <w:pPr>
        <w:pStyle w:val="18"/>
        <w:keepNext w:val="0"/>
        <w:keepLines w:val="0"/>
        <w:pageBreakBefore w:val="0"/>
        <w:widowControl w:val="0"/>
        <w:numPr>
          <w:ilvl w:val="0"/>
          <w:numId w:val="1"/>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p>
    <w:p>
      <w:pPr>
        <w:pStyle w:val="18"/>
        <w:keepNext w:val="0"/>
        <w:keepLines w:val="0"/>
        <w:pageBreakBefore w:val="0"/>
        <w:widowControl w:val="0"/>
        <w:numPr>
          <w:ilvl w:val="0"/>
          <w:numId w:val="1"/>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p>
    <w:p>
      <w:pPr>
        <w:pStyle w:val="18"/>
        <w:keepNext w:val="0"/>
        <w:keepLines w:val="0"/>
        <w:pageBreakBefore w:val="0"/>
        <w:widowControl w:val="0"/>
        <w:numPr>
          <w:ilvl w:val="0"/>
          <w:numId w:val="1"/>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18"/>
          <w:szCs w:val="18"/>
        </w:rPr>
      </w:pP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jc w:val="both"/>
        <w:textAlignment w:val="auto"/>
        <w:outlineLvl w:val="9"/>
        <w:rPr>
          <w:rFonts w:hint="eastAsia" w:ascii="宋体" w:hAnsi="宋体" w:eastAsia="宋体" w:cs="宋体"/>
          <w:sz w:val="18"/>
          <w:szCs w:val="18"/>
        </w:rPr>
      </w:pP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Times New Roman" w:hAnsi="Times New Roman" w:eastAsia="宋体" w:cs="Times New Roman"/>
          <w:sz w:val="21"/>
          <w:szCs w:val="21"/>
          <w:lang w:val="en-US" w:eastAsia="zh-CN"/>
        </w:rPr>
      </w:pP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Times New Roman" w:hAnsi="Times New Roman" w:eastAsia="宋体" w:cs="Times New Roman"/>
          <w:sz w:val="21"/>
          <w:szCs w:val="21"/>
          <w:lang w:val="en-US" w:eastAsia="zh-CN"/>
        </w:rPr>
      </w:pP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Times New Roman" w:hAnsi="Times New Roman" w:eastAsia="宋体" w:cs="Times New Roman"/>
          <w:sz w:val="21"/>
          <w:szCs w:val="21"/>
          <w:lang w:val="en-US" w:eastAsia="zh-CN"/>
        </w:rPr>
      </w:pP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宋体" w:hAnsi="宋体" w:eastAsia="宋体" w:cs="宋体"/>
          <w:sz w:val="21"/>
          <w:szCs w:val="21"/>
          <w:lang w:val="en-US" w:eastAsia="zh-CN"/>
        </w:rPr>
      </w:pPr>
    </w:p>
    <w:p>
      <w:pPr>
        <w:pStyle w:val="18"/>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Times New Roman" w:hAnsi="Times New Roman" w:eastAsia="宋体" w:cs="Times New Roman"/>
          <w:sz w:val="21"/>
          <w:szCs w:val="21"/>
          <w:lang w:val="en-US" w:eastAsia="zh-CN"/>
        </w:rPr>
      </w:pPr>
    </w:p>
    <w:sectPr>
      <w:type w:val="continuous"/>
      <w:pgSz w:w="11906" w:h="16838"/>
      <w:pgMar w:top="1417" w:right="1417" w:bottom="1417" w:left="1417"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王芳其" w:date="2021-11-29T17:26:10Z" w:initials="王">
    <w:p w14:paraId="7C9463CC">
      <w:pPr>
        <w:pStyle w:val="2"/>
        <w:adjustRightInd w:val="0"/>
        <w:snapToGrid w:val="0"/>
        <w:rPr>
          <w:rFonts w:hint="eastAsia" w:ascii="黑体" w:hAnsi="黑体" w:eastAsia="黑体"/>
          <w:b/>
          <w:color w:val="FF0000"/>
          <w:sz w:val="24"/>
          <w:szCs w:val="24"/>
        </w:rPr>
      </w:pPr>
      <w:r>
        <w:rPr>
          <w:rFonts w:hint="eastAsia" w:ascii="黑体" w:hAnsi="黑体" w:eastAsia="黑体"/>
          <w:b/>
          <w:color w:val="FF0000"/>
          <w:sz w:val="24"/>
          <w:szCs w:val="24"/>
        </w:rPr>
        <w:t>严</w:t>
      </w:r>
      <w:bookmarkStart w:id="24" w:name="OLE_LINK3"/>
      <w:r>
        <w:rPr>
          <w:rFonts w:hint="eastAsia" w:ascii="黑体" w:hAnsi="黑体" w:eastAsia="黑体"/>
          <w:b/>
          <w:color w:val="FF0000"/>
          <w:sz w:val="24"/>
          <w:szCs w:val="24"/>
        </w:rPr>
        <w:t>正声明：</w:t>
      </w:r>
    </w:p>
    <w:p w14:paraId="42040678">
      <w:pPr>
        <w:pStyle w:val="2"/>
        <w:adjustRightInd w:val="0"/>
        <w:snapToGrid w:val="0"/>
      </w:pPr>
      <w:r>
        <w:rPr>
          <w:rFonts w:hint="eastAsia"/>
          <w:b/>
          <w:color w:val="FF0000"/>
        </w:rPr>
        <w:t xml:space="preserve">  </w:t>
      </w:r>
      <w:r>
        <w:rPr>
          <w:rFonts w:hint="eastAsia"/>
          <w:b/>
        </w:rPr>
        <w:t xml:space="preserve">  </w:t>
      </w:r>
      <w:r>
        <w:rPr>
          <w:rFonts w:hint="eastAsia" w:ascii="黑体" w:hAnsi="黑体" w:eastAsia="黑体"/>
          <w:color w:val="0000FF"/>
        </w:rPr>
        <w:t>为了抵制学术不端行为，本刊对所有来稿都要进行查重。作者论文的文字重合率不宜超过</w:t>
      </w:r>
      <w:r>
        <w:rPr>
          <w:rFonts w:ascii="黑体" w:hAnsi="黑体" w:eastAsia="黑体"/>
          <w:color w:val="0000FF"/>
        </w:rPr>
        <w:t>20%</w:t>
      </w:r>
      <w:r>
        <w:rPr>
          <w:rFonts w:hint="eastAsia" w:ascii="黑体" w:hAnsi="黑体" w:eastAsia="黑体"/>
          <w:color w:val="0000FF"/>
        </w:rPr>
        <w:t>。如果在论文印刷出版发行之前的检测中重合率﹥</w:t>
      </w:r>
      <w:r>
        <w:rPr>
          <w:rFonts w:hint="eastAsia" w:ascii="黑体" w:hAnsi="黑体" w:eastAsia="黑体"/>
          <w:color w:val="0000FF"/>
          <w:lang w:val="en-US" w:eastAsia="zh-CN"/>
        </w:rPr>
        <w:t>25</w:t>
      </w:r>
      <w:r>
        <w:rPr>
          <w:rFonts w:hint="eastAsia" w:ascii="黑体" w:hAnsi="黑体" w:eastAsia="黑体"/>
          <w:color w:val="0000FF"/>
        </w:rPr>
        <w:t>%，则认定为较严重的超标（涉嫌抄袭、一稿多投、重复发表等学术不端行为），为了维护本刊的声誉，保护作者的名誉，相关文章将终止发表，责任由相关作者自负。</w:t>
      </w:r>
      <w:bookmarkEnd w:id="24"/>
    </w:p>
  </w:comment>
  <w:comment w:id="1" w:author="王芳其" w:date="2021-11-29T17:27:30Z" w:initials="王">
    <w:p w14:paraId="303041E3">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pPr>
      <w:r>
        <w:rPr>
          <w:rFonts w:hint="eastAsia" w:ascii="Times New Roman" w:hAnsi="Times New Roman"/>
          <w:b/>
          <w:color w:val="FF0000"/>
          <w:lang w:val="en-US" w:eastAsia="zh-CN"/>
        </w:rPr>
        <w:t>中文</w:t>
      </w:r>
      <w:r>
        <w:rPr>
          <w:rFonts w:hint="eastAsia" w:ascii="Times New Roman" w:hAnsi="Times New Roman"/>
          <w:b/>
          <w:color w:val="FF0000"/>
        </w:rPr>
        <w:t>题名</w:t>
      </w:r>
      <w:r>
        <w:rPr>
          <w:rFonts w:hint="eastAsia" w:ascii="Times New Roman" w:hAnsi="Times New Roman"/>
        </w:rPr>
        <w:t xml:space="preserve">  </w:t>
      </w:r>
      <w:r>
        <w:rPr>
          <w:rFonts w:hint="eastAsia" w:ascii="宋体" w:hAnsi="宋体"/>
        </w:rPr>
        <w:t>偏正词组，</w:t>
      </w:r>
      <w:r>
        <w:rPr>
          <w:rFonts w:hint="eastAsia" w:ascii="Times New Roman" w:hAnsi="Times New Roman"/>
        </w:rPr>
        <w:t>应简明、具体、确切，能概括文章的要旨，符合编制题录、索引和检索的有关原则并有助于选择关键词和分类号。</w:t>
      </w:r>
      <w:r>
        <w:rPr>
          <w:rFonts w:ascii="宋体" w:hAnsi="宋体"/>
        </w:rPr>
        <w:t>题名一般不</w:t>
      </w:r>
      <w:r>
        <w:rPr>
          <w:rFonts w:hint="eastAsia" w:ascii="宋体" w:hAnsi="宋体"/>
        </w:rPr>
        <w:t>宜</w:t>
      </w:r>
      <w:r>
        <w:rPr>
          <w:rFonts w:ascii="宋体" w:hAnsi="宋体"/>
        </w:rPr>
        <w:t>超过20个</w:t>
      </w:r>
      <w:r>
        <w:rPr>
          <w:rFonts w:hint="eastAsia" w:ascii="宋体" w:hAnsi="宋体"/>
        </w:rPr>
        <w:t>汉字</w:t>
      </w:r>
      <w:r>
        <w:rPr>
          <w:rFonts w:ascii="宋体" w:hAnsi="宋体"/>
        </w:rPr>
        <w:t>，题名中应避免使用非公用的缩略语、字符、代号以及结构</w:t>
      </w:r>
      <w:r>
        <w:rPr>
          <w:rFonts w:hint="eastAsia" w:ascii="宋体" w:hAnsi="宋体"/>
        </w:rPr>
        <w:t>式</w:t>
      </w:r>
      <w:r>
        <w:rPr>
          <w:rFonts w:ascii="宋体" w:hAnsi="宋体"/>
        </w:rPr>
        <w:t>和公式。</w:t>
      </w:r>
    </w:p>
  </w:comment>
  <w:comment w:id="2" w:author="王芳其" w:date="2021-11-29T17:28:38Z" w:initials="王">
    <w:p w14:paraId="791D4B3F">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Times New Roman" w:hAnsi="Times New Roman"/>
        </w:rPr>
      </w:pPr>
      <w:r>
        <w:rPr>
          <w:rFonts w:hint="eastAsia"/>
          <w:b/>
          <w:color w:val="FF0000"/>
        </w:rPr>
        <w:t>作者</w:t>
      </w:r>
      <w:r>
        <w:rPr>
          <w:rFonts w:hint="eastAsia"/>
          <w:b/>
          <w:color w:val="FF0000"/>
          <w:lang w:val="en-US" w:eastAsia="zh-CN"/>
        </w:rPr>
        <w:t>姓</w:t>
      </w:r>
      <w:r>
        <w:rPr>
          <w:rFonts w:hint="eastAsia"/>
          <w:b/>
          <w:color w:val="FF0000"/>
        </w:rPr>
        <w:t xml:space="preserve">名 </w:t>
      </w:r>
      <w:r>
        <w:rPr>
          <w:rFonts w:hint="eastAsia" w:ascii="Times New Roman" w:hAnsi="Times New Roman"/>
        </w:rPr>
        <w:t xml:space="preserve"> 应慎重，署名顺序应按工作贡献大小确定。一般不宜超过</w:t>
      </w:r>
      <w:r>
        <w:rPr>
          <w:rFonts w:hint="eastAsia" w:ascii="Times New Roman" w:hAnsi="Times New Roman"/>
          <w:highlight w:val="yellow"/>
        </w:rPr>
        <w:t>3</w:t>
      </w:r>
      <w:r>
        <w:rPr>
          <w:rFonts w:hint="eastAsia" w:ascii="Times New Roman" w:hAnsi="Times New Roman"/>
        </w:rPr>
        <w:t>人。稿件通过审查之后不得更改署名。</w:t>
      </w:r>
    </w:p>
  </w:comment>
  <w:comment w:id="3" w:author="王芳其" w:date="2021-11-29T17:29:31Z" w:initials="王">
    <w:p w14:paraId="54661F94">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pPr>
      <w:r>
        <w:rPr>
          <w:rFonts w:hint="eastAsia"/>
          <w:b/>
          <w:color w:val="FF0000"/>
        </w:rPr>
        <w:t>作者单位</w:t>
      </w:r>
      <w:r>
        <w:rPr>
          <w:rFonts w:hint="eastAsia"/>
        </w:rPr>
        <w:t xml:space="preserve">  用全称，</w:t>
      </w:r>
      <w:r>
        <w:rPr>
          <w:rFonts w:hint="eastAsia" w:ascii="Times New Roman" w:hAnsi="Times New Roman"/>
        </w:rPr>
        <w:t>不同工作单位的作者，应在姓名右上角加注不同的阿拉数字序号，并在其工作单位名称之前加与作者姓名序号相同的数字；若一作者属于多个与该文有关的单位，可将其一并列出；各工作单位之间连排时以分号隔开。</w:t>
      </w:r>
    </w:p>
  </w:comment>
  <w:comment w:id="4" w:author="王芳其" w:date="2021-11-29T17:29:47Z" w:initials="王">
    <w:p w14:paraId="76F65400">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rPr>
          <w:rFonts w:hint="eastAsia" w:ascii="Calibri" w:hAnsi="Calibri" w:cs="Times New Roman"/>
          <w:b/>
          <w:color w:val="FF0000"/>
          <w:szCs w:val="22"/>
        </w:rPr>
      </w:pPr>
      <w:r>
        <w:rPr>
          <w:rFonts w:hint="eastAsia" w:ascii="Calibri" w:hAnsi="Calibri" w:cs="Times New Roman"/>
          <w:b/>
          <w:color w:val="FF0000"/>
          <w:szCs w:val="22"/>
          <w:lang w:val="en-US" w:eastAsia="zh-CN"/>
        </w:rPr>
        <w:t>中文</w:t>
      </w:r>
      <w:r>
        <w:rPr>
          <w:rFonts w:hint="eastAsia" w:ascii="Calibri" w:hAnsi="Calibri" w:cs="Times New Roman"/>
          <w:b/>
          <w:color w:val="FF0000"/>
          <w:szCs w:val="22"/>
        </w:rPr>
        <w:t>摘要 很重要</w:t>
      </w:r>
    </w:p>
    <w:p w14:paraId="21CE74F3">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rPr>
          <w:rFonts w:hint="eastAsia" w:ascii="Times New Roman" w:hAnsi="Times New Roman" w:cs="Times New Roman"/>
        </w:rPr>
      </w:pPr>
      <w:r>
        <w:rPr>
          <w:rFonts w:hint="eastAsia" w:ascii="Times New Roman" w:hAnsi="Times New Roman" w:cs="Times New Roman"/>
        </w:rPr>
        <w:t>1</w:t>
      </w:r>
      <w:r>
        <w:rPr>
          <w:rFonts w:hint="eastAsia" w:ascii="Times New Roman" w:hAnsi="Times New Roman" w:cs="Times New Roman"/>
          <w:lang w:eastAsia="zh-CN"/>
        </w:rPr>
        <w:t>.</w:t>
      </w:r>
      <w:r>
        <w:rPr>
          <w:rFonts w:hint="eastAsia" w:ascii="Times New Roman" w:hAnsi="Times New Roman" w:cs="Times New Roman"/>
        </w:rPr>
        <w:t>内容须包括以下四要素：</w:t>
      </w:r>
    </w:p>
    <w:p w14:paraId="479B547E">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rPr>
          <w:rFonts w:hint="eastAsia" w:ascii="Times New Roman" w:hAnsi="Times New Roman" w:cs="Times New Roman"/>
        </w:rPr>
      </w:pPr>
      <w:r>
        <w:rPr>
          <w:rFonts w:hint="eastAsia" w:ascii="Times New Roman" w:hAnsi="Times New Roman" w:cs="Times New Roman"/>
          <w:lang w:val="en-US" w:eastAsia="zh-CN"/>
        </w:rPr>
        <w:t>1）</w:t>
      </w:r>
      <w:r>
        <w:rPr>
          <w:rFonts w:hint="eastAsia" w:ascii="Times New Roman" w:hAnsi="Times New Roman" w:cs="Times New Roman"/>
        </w:rPr>
        <w:t>目的--研究、研制、调查等的前提、目的和任务，所涉及的主体范围；须与正文前言相一致；</w:t>
      </w:r>
    </w:p>
    <w:p w14:paraId="086E67EC">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rPr>
          <w:rFonts w:hint="eastAsia" w:ascii="Times New Roman" w:hAnsi="Times New Roman" w:cs="Times New Roman"/>
        </w:rPr>
      </w:pPr>
      <w:r>
        <w:rPr>
          <w:rFonts w:hint="eastAsia" w:ascii="Times New Roman" w:hAnsi="Times New Roman" w:cs="Times New Roman"/>
          <w:lang w:val="en-US" w:eastAsia="zh-CN"/>
        </w:rPr>
        <w:t>2）</w:t>
      </w:r>
      <w:r>
        <w:rPr>
          <w:rFonts w:hint="eastAsia" w:ascii="Times New Roman" w:hAnsi="Times New Roman" w:cs="Times New Roman"/>
        </w:rPr>
        <w:t>方法--所用的原理、理论、条件、对象、材料、工艺、结构、手段、装备、软件等。</w:t>
      </w:r>
    </w:p>
    <w:p w14:paraId="7BDB1738">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rPr>
          <w:rFonts w:hint="eastAsia" w:ascii="Times New Roman" w:hAnsi="Times New Roman" w:cs="Times New Roman"/>
        </w:rPr>
      </w:pPr>
      <w:r>
        <w:rPr>
          <w:rFonts w:hint="eastAsia" w:ascii="Times New Roman" w:hAnsi="Times New Roman" w:cs="Times New Roman"/>
          <w:lang w:val="en-US" w:eastAsia="zh-CN"/>
        </w:rPr>
        <w:t>3）</w:t>
      </w:r>
      <w:r>
        <w:rPr>
          <w:rFonts w:hint="eastAsia" w:ascii="Times New Roman" w:hAnsi="Times New Roman" w:cs="Times New Roman"/>
        </w:rPr>
        <w:t>结果--实验的、研究的结果，数据，被确定的关系，观察结果，得到的效果，性能等。</w:t>
      </w:r>
    </w:p>
    <w:p w14:paraId="453B351F">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rPr>
          <w:rFonts w:hint="eastAsia" w:ascii="Times New Roman" w:hAnsi="Times New Roman" w:cs="Times New Roman"/>
        </w:rPr>
      </w:pPr>
      <w:r>
        <w:rPr>
          <w:rFonts w:hint="eastAsia" w:ascii="Times New Roman" w:hAnsi="Times New Roman" w:cs="Times New Roman"/>
          <w:lang w:val="en-US" w:eastAsia="zh-CN"/>
        </w:rPr>
        <w:t>4）</w:t>
      </w:r>
      <w:r>
        <w:rPr>
          <w:rFonts w:hint="eastAsia" w:ascii="Times New Roman" w:hAnsi="Times New Roman" w:cs="Times New Roman"/>
        </w:rPr>
        <w:t>结论--结果的分析、研究、比较、评价、应用、提出的问题，今后的课题，假设，启发，建议，预测等。须与研究目的相呼应。，</w:t>
      </w:r>
    </w:p>
    <w:p w14:paraId="0AF14CE0">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rPr>
          <w:rFonts w:hint="eastAsia" w:hAnsi="宋体" w:cs="Times New Roman"/>
        </w:rPr>
      </w:pPr>
      <w:r>
        <w:rPr>
          <w:rFonts w:hint="eastAsia" w:hAnsi="宋体" w:cs="Times New Roman"/>
          <w:lang w:val="en-US" w:eastAsia="zh-CN"/>
        </w:rPr>
        <w:t>2.</w:t>
      </w:r>
      <w:r>
        <w:rPr>
          <w:rFonts w:hint="eastAsia" w:hAnsi="宋体" w:cs="Times New Roman"/>
        </w:rPr>
        <w:t>表达层次清晰，逻辑严明</w:t>
      </w:r>
    </w:p>
    <w:p w14:paraId="70DD1AEE">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rPr>
          <w:rFonts w:hint="eastAsia" w:hAnsi="宋体" w:cs="Times New Roman"/>
        </w:rPr>
      </w:pPr>
      <w:r>
        <w:rPr>
          <w:rFonts w:hint="eastAsia" w:hAnsi="宋体" w:cs="Times New Roman"/>
        </w:rPr>
        <w:t>语句表达简明、语义确切、书写合乎语法，保持上下文的逻辑关系。</w:t>
      </w:r>
    </w:p>
    <w:p w14:paraId="77647010">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rPr>
          <w:rFonts w:hint="eastAsia" w:hAnsi="宋体" w:cs="Times New Roman"/>
        </w:rPr>
      </w:pPr>
      <w:r>
        <w:rPr>
          <w:rFonts w:hint="eastAsia" w:hAnsi="宋体" w:cs="Times New Roman"/>
          <w:lang w:val="en-US" w:eastAsia="zh-CN"/>
        </w:rPr>
        <w:t xml:space="preserve">   </w:t>
      </w:r>
      <w:r>
        <w:rPr>
          <w:rFonts w:hint="eastAsia" w:hAnsi="宋体" w:cs="Times New Roman"/>
        </w:rPr>
        <w:t>摘要以</w:t>
      </w:r>
      <w:r>
        <w:rPr>
          <w:rFonts w:hAnsi="宋体" w:cs="Times New Roman"/>
        </w:rPr>
        <w:t>提供文献内容梗概为目的，不加评论和补充解释，简明、确切地记述文献重要内容的短文。摘要应具有独立性和自明性，每篇论文应写出</w:t>
      </w:r>
      <w:r>
        <w:rPr>
          <w:rFonts w:hint="eastAsia" w:hAnsi="宋体" w:cs="Times New Roman"/>
        </w:rPr>
        <w:t>3</w:t>
      </w:r>
      <w:r>
        <w:rPr>
          <w:rFonts w:hAnsi="宋体" w:cs="Times New Roman"/>
        </w:rPr>
        <w:t>00字</w:t>
      </w:r>
      <w:r>
        <w:rPr>
          <w:rFonts w:hint="eastAsia" w:hAnsi="宋体" w:cs="Times New Roman"/>
          <w:lang w:val="en-US" w:eastAsia="zh-CN"/>
        </w:rPr>
        <w:t>左右</w:t>
      </w:r>
      <w:r>
        <w:rPr>
          <w:rFonts w:hAnsi="宋体" w:cs="Times New Roman"/>
        </w:rPr>
        <w:t>的摘要，用第三人称写法，采用</w:t>
      </w:r>
      <w:r>
        <w:rPr>
          <w:rFonts w:hint="eastAsia" w:hAnsi="宋体" w:cs="Times New Roman"/>
        </w:rPr>
        <w:t>“</w:t>
      </w:r>
      <w:r>
        <w:rPr>
          <w:rFonts w:hAnsi="宋体" w:cs="Times New Roman"/>
        </w:rPr>
        <w:t>对……进行了研究</w:t>
      </w:r>
      <w:r>
        <w:rPr>
          <w:rFonts w:hint="eastAsia" w:hAnsi="宋体" w:cs="Times New Roman"/>
        </w:rPr>
        <w:t>”</w:t>
      </w:r>
      <w:r>
        <w:rPr>
          <w:rFonts w:hAnsi="宋体" w:cs="Times New Roman"/>
        </w:rPr>
        <w:t>、</w:t>
      </w:r>
      <w:r>
        <w:rPr>
          <w:rFonts w:hint="eastAsia" w:hAnsi="宋体" w:cs="Times New Roman"/>
        </w:rPr>
        <w:t>“</w:t>
      </w:r>
      <w:r>
        <w:rPr>
          <w:rFonts w:hAnsi="宋体" w:cs="Times New Roman"/>
        </w:rPr>
        <w:t>报道了……现状</w:t>
      </w:r>
      <w:r>
        <w:rPr>
          <w:rFonts w:hint="eastAsia" w:hAnsi="宋体" w:cs="Times New Roman"/>
        </w:rPr>
        <w:t>”</w:t>
      </w:r>
      <w:r>
        <w:rPr>
          <w:rFonts w:hAnsi="宋体" w:cs="Times New Roman"/>
        </w:rPr>
        <w:t>、</w:t>
      </w:r>
      <w:r>
        <w:rPr>
          <w:rFonts w:hint="eastAsia" w:hAnsi="宋体" w:cs="Times New Roman"/>
        </w:rPr>
        <w:t>“</w:t>
      </w:r>
      <w:r>
        <w:rPr>
          <w:rFonts w:hAnsi="宋体" w:cs="Times New Roman"/>
        </w:rPr>
        <w:t>进行了……调查</w:t>
      </w:r>
      <w:r>
        <w:rPr>
          <w:rFonts w:hint="eastAsia" w:hAnsi="宋体" w:cs="Times New Roman"/>
        </w:rPr>
        <w:t>”、“结果表明</w:t>
      </w:r>
      <w:r>
        <w:rPr>
          <w:rFonts w:hAnsi="宋体" w:cs="Times New Roman"/>
        </w:rPr>
        <w:t>……</w:t>
      </w:r>
      <w:r>
        <w:rPr>
          <w:rFonts w:hint="eastAsia" w:hAnsi="宋体" w:cs="Times New Roman"/>
        </w:rPr>
        <w:t>”</w:t>
      </w:r>
      <w:r>
        <w:rPr>
          <w:rFonts w:hAnsi="宋体" w:cs="Times New Roman"/>
        </w:rPr>
        <w:t>等记述方法，不要使用</w:t>
      </w:r>
      <w:r>
        <w:rPr>
          <w:rFonts w:hint="eastAsia" w:hAnsi="宋体" w:cs="Times New Roman"/>
        </w:rPr>
        <w:t>“</w:t>
      </w:r>
      <w:r>
        <w:rPr>
          <w:rFonts w:hAnsi="宋体" w:cs="Times New Roman"/>
        </w:rPr>
        <w:t>我们、本文、作者等</w:t>
      </w:r>
      <w:r>
        <w:rPr>
          <w:rFonts w:hint="eastAsia" w:hAnsi="宋体" w:cs="Times New Roman"/>
        </w:rPr>
        <w:t>”</w:t>
      </w:r>
      <w:r>
        <w:rPr>
          <w:rFonts w:hAnsi="宋体" w:cs="Times New Roman"/>
        </w:rPr>
        <w:t>作主语，不用说明性和评价性的语句。</w:t>
      </w:r>
    </w:p>
    <w:p w14:paraId="6BB37AD3">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outlineLvl w:val="9"/>
      </w:pPr>
      <w:r>
        <w:rPr>
          <w:rFonts w:hint="eastAsia" w:hAnsi="宋体" w:cs="Times New Roman"/>
        </w:rPr>
        <w:t>摘要撰写参见</w:t>
      </w:r>
      <w:r>
        <w:rPr>
          <w:rFonts w:hAnsi="宋体" w:cs="Times New Roman"/>
          <w:kern w:val="0"/>
        </w:rPr>
        <w:t>GB 6447</w:t>
      </w:r>
      <w:r>
        <w:rPr>
          <w:rFonts w:hint="eastAsia" w:hAnsi="宋体" w:cs="Times New Roman"/>
          <w:kern w:val="0"/>
        </w:rPr>
        <w:t>《文摘编写规则》。</w:t>
      </w:r>
    </w:p>
  </w:comment>
  <w:comment w:id="5" w:author="王芳其" w:date="2021-11-29T17:31:48Z" w:initials="王">
    <w:p w14:paraId="3B2B1139">
      <w:pPr>
        <w:pStyle w:val="2"/>
        <w:adjustRightInd w:val="0"/>
        <w:snapToGrid w:val="0"/>
      </w:pPr>
      <w:r>
        <w:rPr>
          <w:rFonts w:hint="eastAsia"/>
          <w:b/>
          <w:color w:val="FF0000"/>
        </w:rPr>
        <w:t>关键词</w:t>
      </w:r>
      <w:r>
        <w:rPr>
          <w:rFonts w:hint="eastAsia"/>
        </w:rPr>
        <w:t xml:space="preserve">  包括主题词和自由词，</w:t>
      </w:r>
      <w:r>
        <w:rPr>
          <w:rFonts w:hint="eastAsia" w:ascii="宋体" w:hAnsi="宋体" w:eastAsia="宋体" w:cs="宋体"/>
          <w:lang w:val="en-US" w:eastAsia="zh-CN"/>
        </w:rPr>
        <w:t>7</w:t>
      </w:r>
      <w:r>
        <w:rPr>
          <w:rFonts w:hint="eastAsia" w:ascii="Times New Roman" w:hAnsi="Times New Roman"/>
        </w:rPr>
        <w:t>～8个为宜。</w:t>
      </w:r>
    </w:p>
  </w:comment>
  <w:comment w:id="6" w:author="王芳其" w:date="2021-11-29T17:34:33Z" w:initials="王">
    <w:p w14:paraId="4B1724F7">
      <w:pPr>
        <w:pStyle w:val="2"/>
        <w:adjustRightInd w:val="0"/>
        <w:snapToGrid w:val="0"/>
      </w:pPr>
      <w:r>
        <w:rPr>
          <w:rFonts w:hint="eastAsia"/>
          <w:b/>
          <w:color w:val="FF0000"/>
        </w:rPr>
        <w:t>文章编号</w:t>
      </w:r>
      <w:r>
        <w:rPr>
          <w:rFonts w:hint="eastAsia" w:ascii="Times New Roman" w:hAnsi="Times New Roman"/>
        </w:rPr>
        <w:t xml:space="preserve">  编辑部编码，作者不予处理。</w:t>
      </w:r>
    </w:p>
  </w:comment>
  <w:comment w:id="7" w:author="王芳其" w:date="2021-11-29T17:34:57Z" w:initials="王">
    <w:p w14:paraId="3F151EDC">
      <w:pPr>
        <w:pStyle w:val="2"/>
        <w:adjustRightInd w:val="0"/>
        <w:snapToGrid w:val="0"/>
      </w:pPr>
      <w:r>
        <w:rPr>
          <w:rFonts w:hint="eastAsia"/>
          <w:b/>
          <w:color w:val="FF0000"/>
        </w:rPr>
        <w:t xml:space="preserve">中图分类号 </w:t>
      </w:r>
      <w:r>
        <w:rPr>
          <w:rFonts w:hint="eastAsia" w:ascii="Times New Roman" w:hAnsi="Times New Roman"/>
        </w:rPr>
        <w:t xml:space="preserve"> 采用《中国图书馆分类法》进行分类选取，一般标注一个分类号，多个主题的文章可标注两个或三个分类号。</w:t>
      </w:r>
    </w:p>
  </w:comment>
  <w:comment w:id="8" w:author="王芳其" w:date="2021-11-29T17:35:26Z" w:initials="王">
    <w:p w14:paraId="2BE30201">
      <w:pPr>
        <w:pStyle w:val="4"/>
        <w:adjustRightInd w:val="0"/>
        <w:snapToGrid w:val="0"/>
        <w:ind w:firstLine="318"/>
        <w:rPr>
          <w:rFonts w:hint="eastAsia" w:ascii="Times New Roman" w:hAnsi="Times New Roman" w:cs="Times New Roman"/>
        </w:rPr>
      </w:pPr>
      <w:r>
        <w:rPr>
          <w:rFonts w:hint="eastAsia" w:ascii="Calibri" w:hAnsi="Calibri" w:cs="Times New Roman"/>
          <w:b/>
          <w:color w:val="FF0000"/>
          <w:szCs w:val="22"/>
        </w:rPr>
        <w:t xml:space="preserve">文献标志码 </w:t>
      </w:r>
      <w:r>
        <w:rPr>
          <w:rFonts w:hint="eastAsia" w:ascii="Times New Roman" w:hAnsi="Times New Roman" w:cs="Times New Roman"/>
        </w:rPr>
        <w:t xml:space="preserve"> 每一篇文章应根据其内容性质标识一个文献标志码。主要有以下3种：</w:t>
      </w:r>
    </w:p>
    <w:p w14:paraId="61687DFC">
      <w:pPr>
        <w:pStyle w:val="4"/>
        <w:rPr>
          <w:rFonts w:hint="eastAsia" w:ascii="Times New Roman" w:hAnsi="Times New Roman" w:cs="Times New Roman"/>
        </w:rPr>
      </w:pPr>
      <w:r>
        <w:rPr>
          <w:rFonts w:hint="eastAsia" w:ascii="Times New Roman" w:hAnsi="Times New Roman" w:cs="Times New Roman"/>
        </w:rPr>
        <w:t>A—基础性理论与应用研究；</w:t>
      </w:r>
    </w:p>
    <w:p w14:paraId="0E330F2C">
      <w:pPr>
        <w:pStyle w:val="4"/>
        <w:rPr>
          <w:rFonts w:hint="eastAsia" w:ascii="Times New Roman" w:hAnsi="Times New Roman" w:cs="Times New Roman"/>
        </w:rPr>
      </w:pPr>
      <w:r>
        <w:rPr>
          <w:rFonts w:hint="eastAsia" w:ascii="Times New Roman" w:hAnsi="Times New Roman" w:cs="Times New Roman"/>
        </w:rPr>
        <w:t>B——应用性技术成果报告(科技)；</w:t>
      </w:r>
    </w:p>
    <w:p w14:paraId="4FC806D3">
      <w:pPr>
        <w:pStyle w:val="2"/>
        <w:rPr>
          <w:rFonts w:hint="eastAsia" w:ascii="Times New Roman" w:hAnsi="Times New Roman" w:cs="Times New Roman"/>
        </w:rPr>
      </w:pPr>
      <w:r>
        <w:rPr>
          <w:rFonts w:hint="eastAsia" w:ascii="Times New Roman" w:hAnsi="Times New Roman" w:cs="Times New Roman"/>
        </w:rPr>
        <w:t>C——业务指导与技术管理性文章(包括领导讲话、政策性评论、标准技术规范等)。</w:t>
      </w:r>
    </w:p>
  </w:comment>
  <w:comment w:id="9" w:author="肖述" w:date="2024-03-27T10:17:56Z" w:initials="肖">
    <w:p w14:paraId="1E6D609D">
      <w:pPr>
        <w:pStyle w:val="2"/>
        <w:rPr>
          <w:rFonts w:hint="default" w:ascii="Times New Roman" w:hAnsi="Times New Roman"/>
          <w:b/>
          <w:color w:val="FF0000"/>
          <w:lang w:val="en-US" w:eastAsia="zh-CN"/>
        </w:rPr>
      </w:pPr>
      <w:r>
        <w:rPr>
          <w:rFonts w:hint="eastAsia" w:ascii="Times New Roman" w:hAnsi="Times New Roman"/>
          <w:b/>
          <w:color w:val="FF0000"/>
          <w:lang w:val="en-US" w:eastAsia="zh-CN"/>
        </w:rPr>
        <w:t>英文</w:t>
      </w:r>
      <w:r>
        <w:rPr>
          <w:rFonts w:hint="eastAsia" w:ascii="Times New Roman" w:hAnsi="Times New Roman"/>
          <w:b/>
          <w:color w:val="FF0000"/>
        </w:rPr>
        <w:t>题名</w:t>
      </w:r>
      <w:r>
        <w:rPr>
          <w:rFonts w:hint="eastAsia" w:ascii="Times New Roman" w:hAnsi="Times New Roman"/>
          <w:b/>
          <w:color w:val="FF0000"/>
          <w:lang w:val="en-US" w:eastAsia="zh-CN"/>
        </w:rPr>
        <w:t xml:space="preserve"> 英文作者 英文单位  </w:t>
      </w:r>
      <w:r>
        <w:rPr>
          <w:rFonts w:hint="eastAsia" w:ascii="Times New Roman" w:hAnsi="Times New Roman"/>
          <w:lang w:val="en-US" w:eastAsia="zh-CN"/>
        </w:rPr>
        <w:t>准确翻译。</w:t>
      </w:r>
    </w:p>
  </w:comment>
  <w:comment w:id="10" w:author="王芳其" w:date="2021-11-29T17:37:39Z" w:initials="王">
    <w:p w14:paraId="385B39C4">
      <w:pPr>
        <w:pStyle w:val="2"/>
        <w:rPr>
          <w:rFonts w:hint="eastAsia" w:eastAsiaTheme="minorEastAsia"/>
          <w:lang w:eastAsia="zh-CN"/>
        </w:rPr>
      </w:pPr>
      <w:r>
        <w:rPr>
          <w:rFonts w:hint="eastAsia"/>
          <w:b/>
          <w:color w:val="FF0000"/>
          <w:lang w:val="en-US" w:eastAsia="zh-CN"/>
        </w:rPr>
        <w:t>英文摘要及关键词的英译</w:t>
      </w:r>
      <w:r>
        <w:rPr>
          <w:rFonts w:hint="eastAsia"/>
        </w:rPr>
        <w:t xml:space="preserve">  </w:t>
      </w:r>
      <w:r>
        <w:rPr>
          <w:rFonts w:hint="eastAsia"/>
          <w:lang w:val="en-US" w:eastAsia="zh-CN"/>
        </w:rPr>
        <w:t>须</w:t>
      </w:r>
      <w:r>
        <w:rPr>
          <w:rFonts w:hint="eastAsia"/>
        </w:rPr>
        <w:t>与中文对应、一致。英文中的标点符号均为半角字符。参见CY/T 154—2017《中文出版物夹用英文的编辑规范》。</w:t>
      </w:r>
    </w:p>
  </w:comment>
  <w:comment w:id="11" w:author="肖述" w:date="2024-03-26T12:29:25Z" w:initials="肖">
    <w:p w14:paraId="0F7F1DF3">
      <w:pPr>
        <w:pStyle w:val="2"/>
      </w:pPr>
      <w:r>
        <w:rPr>
          <w:rFonts w:hint="eastAsia" w:ascii="Times New Roman" w:hAnsi="Times New Roman"/>
          <w:b/>
          <w:bCs/>
          <w:color w:val="FF0000"/>
        </w:rPr>
        <w:t>引言</w:t>
      </w:r>
      <w:r>
        <w:rPr>
          <w:rFonts w:hint="eastAsia" w:ascii="Times New Roman" w:hAnsi="Times New Roman"/>
        </w:rPr>
        <w:t>（前言、概述）不列标题，</w:t>
      </w:r>
    </w:p>
  </w:comment>
  <w:comment w:id="12" w:author="王芳其" w:date="2021-11-30T10:55:06Z" w:initials="王">
    <w:p w14:paraId="162B4091">
      <w:pPr>
        <w:pStyle w:val="2"/>
      </w:pPr>
      <w:r>
        <w:rPr>
          <w:rFonts w:hint="eastAsia" w:ascii="Times New Roman" w:hAnsi="Times New Roman"/>
          <w:b/>
          <w:bCs/>
          <w:color w:val="FF0000"/>
        </w:rPr>
        <w:t>基金项目</w:t>
      </w:r>
      <w:r>
        <w:rPr>
          <w:rFonts w:hint="eastAsia" w:ascii="Times New Roman" w:hAnsi="Times New Roman"/>
          <w:b/>
          <w:bCs/>
          <w:color w:val="FF0000"/>
          <w:lang w:val="en-US" w:eastAsia="zh-CN"/>
        </w:rPr>
        <w:t xml:space="preserve"> 很重要 ，排序拥有优先发权。基金</w:t>
      </w:r>
      <w:r>
        <w:rPr>
          <w:rFonts w:hint="eastAsia" w:ascii="Times New Roman" w:hAnsi="Times New Roman"/>
        </w:rPr>
        <w:t>名称应按照国家有关部门规定的正式名称著录；多项基金项目应依次列出，其间以分号隔开。</w:t>
      </w:r>
    </w:p>
  </w:comment>
  <w:comment w:id="13" w:author="王芳其" w:date="2021-11-30T10:56:42Z" w:initials="王">
    <w:p w14:paraId="6A682D1F">
      <w:pPr>
        <w:pStyle w:val="2"/>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pPr>
      <w:r>
        <w:rPr>
          <w:rFonts w:hint="eastAsia" w:hAnsi="宋体"/>
          <w:b/>
          <w:bCs/>
          <w:color w:val="FF0000"/>
        </w:rPr>
        <w:t>作者简介</w:t>
      </w:r>
      <w:r>
        <w:rPr>
          <w:rFonts w:hint="eastAsia" w:hAnsi="宋体"/>
          <w:b/>
          <w:bCs/>
        </w:rPr>
        <w:t xml:space="preserve"> </w:t>
      </w:r>
      <w:r>
        <w:rPr>
          <w:rFonts w:hint="eastAsia" w:hAnsi="宋体"/>
        </w:rPr>
        <w:t xml:space="preserve"> 包括</w:t>
      </w:r>
      <w:r>
        <w:rPr>
          <w:rFonts w:hAnsi="宋体"/>
        </w:rPr>
        <w:t>姓名（出生年</w:t>
      </w:r>
      <w:r>
        <w:t>—</w:t>
      </w:r>
      <w:r>
        <w:rPr>
          <w:rFonts w:hAnsi="宋体"/>
        </w:rPr>
        <w:t>），性别（民族，汉族可省略），籍贯，学位，职称</w:t>
      </w:r>
      <w:r>
        <w:rPr>
          <w:rFonts w:hint="eastAsia" w:hAnsi="宋体"/>
        </w:rPr>
        <w:t>/</w:t>
      </w:r>
      <w:r>
        <w:rPr>
          <w:rFonts w:hAnsi="宋体"/>
        </w:rPr>
        <w:t>职务，工作或研究方向（任选）</w:t>
      </w:r>
      <w:r>
        <w:rPr>
          <w:rFonts w:hint="eastAsia" w:hAnsi="宋体"/>
        </w:rPr>
        <w:t>。可以对外公开的联系信息</w:t>
      </w:r>
      <w:r>
        <w:rPr>
          <w:rFonts w:hAnsi="宋体"/>
        </w:rPr>
        <w:t>。</w:t>
      </w:r>
    </w:p>
  </w:comment>
  <w:comment w:id="14" w:author="王芳其" w:date="2021-11-29T17:41:07Z" w:initials="王">
    <w:p w14:paraId="1CCC0FCE">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Times New Roman" w:hAnsi="Times New Roman"/>
        </w:rPr>
      </w:pPr>
      <w:r>
        <w:rPr>
          <w:rFonts w:hint="eastAsia"/>
          <w:b/>
          <w:color w:val="FF0000"/>
        </w:rPr>
        <w:t>文章结构须层次清晰</w:t>
      </w:r>
      <w:r>
        <w:rPr>
          <w:rFonts w:hint="eastAsia" w:ascii="Times New Roman" w:hAnsi="Times New Roman"/>
        </w:rPr>
        <w:t xml:space="preserve">  </w:t>
      </w:r>
      <w:r>
        <w:rPr>
          <w:rFonts w:ascii="Times New Roman" w:hAnsi="Times New Roman"/>
        </w:rPr>
        <w:t>一律用</w:t>
      </w:r>
      <w:r>
        <w:rPr>
          <w:rFonts w:hint="eastAsia" w:ascii="Times New Roman" w:hAnsi="Times New Roman"/>
        </w:rPr>
        <w:t>“</w:t>
      </w:r>
      <w:r>
        <w:rPr>
          <w:rFonts w:ascii="Times New Roman" w:hAnsi="Times New Roman"/>
        </w:rPr>
        <w:t>1</w:t>
      </w:r>
      <w:r>
        <w:rPr>
          <w:rFonts w:hint="eastAsia" w:ascii="Times New Roman" w:hAnsi="Times New Roman"/>
        </w:rPr>
        <w:t>、</w:t>
      </w:r>
      <w:r>
        <w:rPr>
          <w:rFonts w:ascii="Times New Roman" w:hAnsi="Times New Roman"/>
        </w:rPr>
        <w:t>1.1</w:t>
      </w:r>
      <w:r>
        <w:rPr>
          <w:rFonts w:hint="eastAsia" w:ascii="Times New Roman" w:hAnsi="Times New Roman"/>
        </w:rPr>
        <w:t>、</w:t>
      </w:r>
      <w:r>
        <w:rPr>
          <w:rFonts w:ascii="Times New Roman" w:hAnsi="Times New Roman"/>
        </w:rPr>
        <w:t>1.1.1</w:t>
      </w:r>
      <w:r>
        <w:rPr>
          <w:rFonts w:hint="eastAsia" w:ascii="Times New Roman" w:hAnsi="Times New Roman"/>
        </w:rPr>
        <w:t>”“</w:t>
      </w:r>
      <w:r>
        <w:rPr>
          <w:rFonts w:ascii="Times New Roman" w:hAnsi="Times New Roman"/>
        </w:rPr>
        <w:t>2</w:t>
      </w:r>
      <w:r>
        <w:rPr>
          <w:rFonts w:hint="eastAsia" w:ascii="Times New Roman" w:hAnsi="Times New Roman"/>
        </w:rPr>
        <w:t>、</w:t>
      </w:r>
      <w:r>
        <w:rPr>
          <w:rFonts w:ascii="Times New Roman" w:hAnsi="Times New Roman"/>
        </w:rPr>
        <w:t>2.1</w:t>
      </w:r>
      <w:r>
        <w:rPr>
          <w:rFonts w:hint="eastAsia" w:ascii="Times New Roman" w:hAnsi="Times New Roman"/>
        </w:rPr>
        <w:t>、</w:t>
      </w:r>
      <w:r>
        <w:rPr>
          <w:rFonts w:hint="eastAsia" w:ascii="Times New Roman" w:hAnsi="Times New Roman"/>
          <w:lang w:val="en-US" w:eastAsia="zh-CN"/>
        </w:rPr>
        <w:t>2.1.1</w:t>
      </w:r>
      <w:r>
        <w:rPr>
          <w:rFonts w:hint="eastAsia" w:ascii="Times New Roman" w:hAnsi="Times New Roman"/>
        </w:rPr>
        <w:t>”</w:t>
      </w:r>
      <w:r>
        <w:rPr>
          <w:rFonts w:ascii="Times New Roman" w:hAnsi="Times New Roman"/>
        </w:rPr>
        <w:t>……标示。</w:t>
      </w:r>
    </w:p>
    <w:p w14:paraId="76FA7F76">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Times New Roman" w:hAnsi="Times New Roman" w:eastAsiaTheme="minorEastAsia"/>
          <w:lang w:eastAsia="zh-CN"/>
        </w:rPr>
      </w:pPr>
      <w:r>
        <w:rPr>
          <w:rFonts w:ascii="Times New Roman" w:hAnsi="Times New Roman"/>
        </w:rPr>
        <w:t>文中层次标题最好不超过</w:t>
      </w:r>
      <w:r>
        <w:rPr>
          <w:rFonts w:hint="eastAsia" w:ascii="Times New Roman" w:hAnsi="Times New Roman"/>
        </w:rPr>
        <w:t>3</w:t>
      </w:r>
      <w:r>
        <w:rPr>
          <w:rFonts w:ascii="Times New Roman" w:hAnsi="Times New Roman"/>
        </w:rPr>
        <w:t>级。同一级层次标题应表达同一层次内容，结构相似，意义相关，语气一致</w:t>
      </w:r>
      <w:r>
        <w:rPr>
          <w:rFonts w:hint="eastAsia" w:ascii="Times New Roman" w:hAnsi="Times New Roman"/>
          <w:lang w:eastAsia="zh-CN"/>
        </w:rPr>
        <w:t>。</w:t>
      </w:r>
    </w:p>
    <w:p w14:paraId="073E3C95">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pPr>
      <w:r>
        <w:rPr>
          <w:rFonts w:ascii="Times New Roman" w:hAnsi="Times New Roman"/>
        </w:rPr>
        <w:t>不同层次标题有上下关系者，在内容上应相互联系。列好层次标题还应处理好层次标题与</w:t>
      </w:r>
      <w:r>
        <w:rPr>
          <w:rFonts w:hint="eastAsia" w:ascii="Times New Roman" w:hAnsi="Times New Roman"/>
        </w:rPr>
        <w:t xml:space="preserve"> “</w:t>
      </w:r>
      <w:r>
        <w:rPr>
          <w:rFonts w:ascii="Times New Roman" w:hAnsi="Times New Roman"/>
        </w:rPr>
        <w:t>要点</w:t>
      </w:r>
      <w:r>
        <w:rPr>
          <w:rFonts w:hint="eastAsia" w:ascii="Times New Roman" w:hAnsi="Times New Roman"/>
        </w:rPr>
        <w:t>”</w:t>
      </w:r>
      <w:r>
        <w:rPr>
          <w:rFonts w:ascii="Times New Roman" w:hAnsi="Times New Roman"/>
        </w:rPr>
        <w:t>的关系，</w:t>
      </w:r>
      <w:r>
        <w:rPr>
          <w:rFonts w:hint="eastAsia" w:hAnsi="宋体"/>
        </w:rPr>
        <w:t>如果把“要点</w:t>
      </w:r>
      <w:r>
        <w:rPr>
          <w:rFonts w:hint="eastAsia" w:ascii="Times New Roman" w:hAnsi="Times New Roman"/>
        </w:rPr>
        <w:t>”</w:t>
      </w:r>
      <w:r>
        <w:rPr>
          <w:rFonts w:ascii="Times New Roman" w:hAnsi="Times New Roman"/>
        </w:rPr>
        <w:t>也按层次标题处理，就可能使标题层次太多，造成层次不简明或混乱。</w:t>
      </w:r>
    </w:p>
  </w:comment>
  <w:comment w:id="15" w:author="王芳其" w:date="2021-11-29T17:43:16Z" w:initials="王">
    <w:p w14:paraId="21DE3504">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pPr>
      <w:r>
        <w:rPr>
          <w:rFonts w:hint="eastAsia"/>
          <w:b/>
          <w:color w:val="FF0000"/>
        </w:rPr>
        <w:t>插图</w:t>
      </w:r>
      <w:r>
        <w:rPr>
          <w:rFonts w:hint="eastAsia"/>
        </w:rPr>
        <w:t xml:space="preserve"> 本刊为黑白印刷。文中的插图随文排，应规范和具有自明性。插图简洁、清晰，主、辅线条粗细分明，文字清楚。凡用文字能表达清楚的，尽量不用图。按照从小到大的顺序编排图序。</w:t>
      </w:r>
    </w:p>
  </w:comment>
  <w:comment w:id="16" w:author="王芳其" w:date="2021-11-29T17:44:30Z" w:initials="王">
    <w:p w14:paraId="4E145A7C">
      <w:pPr>
        <w:pStyle w:val="2"/>
        <w:adjustRightInd w:val="0"/>
        <w:snapToGrid w:val="0"/>
      </w:pPr>
      <w:r>
        <w:rPr>
          <w:rFonts w:hint="eastAsia"/>
          <w:b/>
          <w:bCs/>
          <w:color w:val="FF0000"/>
        </w:rPr>
        <w:t>图</w:t>
      </w:r>
      <w:r>
        <w:rPr>
          <w:rFonts w:hint="eastAsia"/>
          <w:b/>
          <w:bCs/>
          <w:color w:val="FF0000"/>
          <w:lang w:val="en-US" w:eastAsia="zh-CN"/>
        </w:rPr>
        <w:t xml:space="preserve">题  </w:t>
      </w:r>
      <w:r>
        <w:rPr>
          <w:rFonts w:hint="eastAsia"/>
        </w:rPr>
        <w:t>应具体，</w:t>
      </w:r>
      <w:r>
        <w:rPr>
          <w:rFonts w:hint="eastAsia"/>
          <w:lang w:val="en-US" w:eastAsia="zh-CN"/>
        </w:rPr>
        <w:t>且要将图名译成</w:t>
      </w:r>
      <w:r>
        <w:rPr>
          <w:rFonts w:hint="eastAsia"/>
          <w:b/>
          <w:bCs/>
          <w:color w:val="FF0000"/>
          <w:lang w:val="en-US" w:eastAsia="zh-CN"/>
        </w:rPr>
        <w:t>英文名</w:t>
      </w:r>
      <w:r>
        <w:rPr>
          <w:rFonts w:hint="eastAsia"/>
          <w:lang w:val="en-US" w:eastAsia="zh-CN"/>
        </w:rPr>
        <w:t>。</w:t>
      </w:r>
    </w:p>
  </w:comment>
  <w:comment w:id="17" w:author="王芳其" w:date="2021-11-29T17:46:39Z" w:initials="王">
    <w:p w14:paraId="03D80A24">
      <w:pPr>
        <w:pStyle w:val="2"/>
        <w:adjustRightInd w:val="0"/>
        <w:snapToGrid w:val="0"/>
      </w:pPr>
      <w:r>
        <w:rPr>
          <w:rFonts w:ascii="Times New Roman" w:hAnsi="Times New Roman"/>
          <w:b/>
          <w:color w:val="FF0000"/>
        </w:rPr>
        <w:t>量符号</w:t>
      </w:r>
      <w:r>
        <w:rPr>
          <w:rFonts w:hint="eastAsia" w:ascii="Times New Roman" w:hAnsi="Times New Roman"/>
        </w:rPr>
        <w:t xml:space="preserve"> </w:t>
      </w:r>
      <w:r>
        <w:rPr>
          <w:rFonts w:hint="eastAsia" w:ascii="Times New Roman" w:hAnsi="Times New Roman"/>
          <w:b/>
          <w:bCs/>
          <w:color w:val="FF0000"/>
          <w:lang w:val="en-US" w:eastAsia="zh-CN"/>
        </w:rPr>
        <w:t>正确表示很重要</w:t>
      </w:r>
      <w:r>
        <w:rPr>
          <w:rFonts w:hint="eastAsia" w:ascii="Times New Roman" w:hAnsi="Times New Roman"/>
        </w:rPr>
        <w:t xml:space="preserve"> </w:t>
      </w:r>
      <w:r>
        <w:rPr>
          <w:rFonts w:ascii="Times New Roman" w:hAnsi="Times New Roman"/>
        </w:rPr>
        <w:t>必须符合国家标准和国际标准。稿件中的外文字母应注意区分</w:t>
      </w:r>
      <w:r>
        <w:rPr>
          <w:rFonts w:ascii="Times New Roman" w:hAnsi="Times New Roman"/>
          <w:b/>
          <w:bCs/>
        </w:rPr>
        <w:t>正</w:t>
      </w:r>
      <w:r>
        <w:rPr>
          <w:rFonts w:hint="eastAsia" w:ascii="Times New Roman" w:hAnsi="Times New Roman"/>
          <w:b/>
          <w:bCs/>
          <w:lang w:val="en-US" w:eastAsia="zh-CN"/>
        </w:rPr>
        <w:t>体</w:t>
      </w:r>
      <w:r>
        <w:rPr>
          <w:rFonts w:ascii="Times New Roman" w:hAnsi="Times New Roman"/>
          <w:b/>
          <w:bCs/>
        </w:rPr>
        <w:t>、斜体</w:t>
      </w:r>
      <w:r>
        <w:rPr>
          <w:rFonts w:ascii="Times New Roman" w:hAnsi="Times New Roman"/>
        </w:rPr>
        <w:t>，</w:t>
      </w:r>
      <w:r>
        <w:rPr>
          <w:rFonts w:ascii="Times New Roman" w:hAnsi="Times New Roman"/>
          <w:b/>
          <w:bCs/>
        </w:rPr>
        <w:t>粗体</w:t>
      </w:r>
      <w:r>
        <w:rPr>
          <w:rFonts w:ascii="Times New Roman" w:hAnsi="Times New Roman"/>
        </w:rPr>
        <w:t>。</w:t>
      </w:r>
      <w:r>
        <w:rPr>
          <w:rFonts w:hint="eastAsia"/>
        </w:rPr>
        <w:t>公式中的</w:t>
      </w:r>
      <w:r>
        <w:rPr>
          <w:rFonts w:hint="eastAsia"/>
          <w:b/>
          <w:bCs/>
        </w:rPr>
        <w:t>变量统一采用斜体</w:t>
      </w:r>
      <w:r>
        <w:rPr>
          <w:rFonts w:hint="eastAsia"/>
        </w:rPr>
        <w:t>，下标如果为变量也采用斜体，如果为非变量，仅是区分变量，下标采用正体。公式务必为可编辑格式，请不要采用图片格式。</w:t>
      </w:r>
    </w:p>
  </w:comment>
  <w:comment w:id="18" w:author="王芳其" w:date="2021-11-29T17:49:12Z" w:initials="王">
    <w:p w14:paraId="08D675C4">
      <w:pPr>
        <w:pStyle w:val="2"/>
      </w:pPr>
      <w:r>
        <w:rPr>
          <w:rFonts w:hint="eastAsia"/>
          <w:b/>
          <w:color w:val="FF0000"/>
        </w:rPr>
        <w:t>计量单位</w:t>
      </w:r>
      <w:r>
        <w:rPr>
          <w:rFonts w:hint="eastAsia"/>
        </w:rPr>
        <w:t xml:space="preserve">  </w:t>
      </w:r>
      <w:r>
        <w:rPr>
          <w:rFonts w:hint="eastAsia" w:ascii="Times New Roman" w:hAnsi="Times New Roman"/>
        </w:rPr>
        <w:t>应使</w:t>
      </w:r>
      <w:r>
        <w:rPr>
          <w:rFonts w:ascii="Times New Roman" w:hAnsi="Times New Roman"/>
        </w:rPr>
        <w:t>用</w:t>
      </w:r>
      <w:r>
        <w:rPr>
          <w:rFonts w:hint="eastAsia" w:ascii="Times New Roman" w:hAnsi="Times New Roman"/>
        </w:rPr>
        <w:t>法定单位名称及符号（</w:t>
      </w:r>
      <w:r>
        <w:rPr>
          <w:rFonts w:ascii="Times New Roman" w:hAnsi="Times New Roman"/>
        </w:rPr>
        <w:t>国际单位制、国际单位名称和代号</w:t>
      </w:r>
      <w:r>
        <w:rPr>
          <w:rFonts w:hint="eastAsia" w:ascii="Times New Roman" w:hAnsi="Times New Roman"/>
        </w:rPr>
        <w:t>）。正文中相乘的组合单位格式如N·m，kW·h；相除的组合单位格式如m/s，kg/m</w:t>
      </w:r>
      <w:r>
        <w:rPr>
          <w:rFonts w:hint="eastAsia" w:ascii="Times New Roman" w:hAnsi="Times New Roman"/>
          <w:vertAlign w:val="superscript"/>
        </w:rPr>
        <w:t>3</w:t>
      </w:r>
      <w:r>
        <w:rPr>
          <w:rFonts w:hint="eastAsia" w:ascii="Times New Roman" w:hAnsi="Times New Roman"/>
        </w:rPr>
        <w:t>。在图表中以“量/单位”表示时，在斜除线“/”后组合单位应加括号，</w:t>
      </w:r>
      <w:r>
        <w:rPr>
          <w:rFonts w:hint="eastAsia" w:ascii="Times New Roman" w:hAnsi="Times New Roman"/>
          <w:lang w:val="en-US" w:eastAsia="zh-CN"/>
        </w:rPr>
        <w:t>括号中</w:t>
      </w:r>
      <w:r>
        <w:rPr>
          <w:rFonts w:hint="eastAsia" w:ascii="Times New Roman" w:hAnsi="Times New Roman"/>
        </w:rPr>
        <w:t>相乘的组合单位格式如</w:t>
      </w:r>
      <w:r>
        <w:rPr>
          <w:rFonts w:hint="eastAsia" w:ascii="Times New Roman" w:hAnsi="Times New Roman"/>
          <w:i/>
        </w:rPr>
        <w:t xml:space="preserve">M </w:t>
      </w:r>
      <w:r>
        <w:rPr>
          <w:rFonts w:hint="eastAsia" w:ascii="Times New Roman" w:hAnsi="Times New Roman"/>
        </w:rPr>
        <w:t>/ (N·m)，相除的组合单位格式如</w:t>
      </w:r>
      <w:r>
        <w:rPr>
          <w:rFonts w:hint="eastAsia" w:ascii="Times New Roman" w:hAnsi="Times New Roman"/>
          <w:i/>
          <w:color w:val="FF0000"/>
        </w:rPr>
        <w:t xml:space="preserve">v </w:t>
      </w:r>
      <w:r>
        <w:rPr>
          <w:rFonts w:hint="eastAsia" w:ascii="Times New Roman" w:hAnsi="Times New Roman"/>
          <w:color w:val="FF0000"/>
        </w:rPr>
        <w:t>/ ( m·s</w:t>
      </w:r>
      <w:r>
        <w:rPr>
          <w:rFonts w:hint="eastAsia" w:ascii="Times New Roman" w:hAnsi="Times New Roman"/>
          <w:color w:val="FF0000"/>
          <w:vertAlign w:val="superscript"/>
        </w:rPr>
        <w:t>-1</w:t>
      </w:r>
      <w:r>
        <w:rPr>
          <w:rFonts w:hint="eastAsia" w:ascii="Times New Roman" w:hAnsi="Times New Roman"/>
          <w:color w:val="FF0000"/>
        </w:rPr>
        <w:t>)</w:t>
      </w:r>
      <w:r>
        <w:rPr>
          <w:rFonts w:hint="eastAsia" w:ascii="Times New Roman" w:hAnsi="Times New Roman"/>
        </w:rPr>
        <w:t>。</w:t>
      </w:r>
    </w:p>
  </w:comment>
  <w:comment w:id="19" w:author="王芳其" w:date="2021-11-29T17:49:55Z" w:initials="王">
    <w:p w14:paraId="6E4C434E">
      <w:pPr>
        <w:pStyle w:val="2"/>
        <w:adjustRightInd w:val="0"/>
        <w:snapToGrid w:val="0"/>
      </w:pPr>
      <w:r>
        <w:rPr>
          <w:rFonts w:hint="eastAsia"/>
          <w:b/>
          <w:color w:val="FF0000"/>
        </w:rPr>
        <w:t>表格</w:t>
      </w:r>
      <w:r>
        <w:rPr>
          <w:rFonts w:hint="eastAsia"/>
        </w:rPr>
        <w:t xml:space="preserve">  文中的表格随文排，应规范和具有自明性。表格采用三线表（可加辅助线）形式，凡用文字能表达清楚的，尽量不用表。按照从小到大的顺序编排表序。</w:t>
      </w:r>
    </w:p>
  </w:comment>
  <w:comment w:id="20" w:author="王芳其" w:date="2021-11-29T17:50:32Z" w:initials="王">
    <w:p w14:paraId="7EA57DD3">
      <w:pPr>
        <w:pStyle w:val="2"/>
        <w:adjustRightInd w:val="0"/>
        <w:snapToGrid w:val="0"/>
      </w:pPr>
      <w:r>
        <w:rPr>
          <w:rFonts w:hint="eastAsia"/>
          <w:b/>
          <w:bCs/>
          <w:color w:val="FF0000"/>
          <w:lang w:val="en-US" w:eastAsia="zh-CN"/>
        </w:rPr>
        <w:t xml:space="preserve">表题  </w:t>
      </w:r>
      <w:r>
        <w:rPr>
          <w:rFonts w:hint="eastAsia"/>
        </w:rPr>
        <w:t>表</w:t>
      </w:r>
      <w:r>
        <w:rPr>
          <w:rFonts w:hint="eastAsia"/>
          <w:lang w:val="en-US" w:eastAsia="zh-CN"/>
        </w:rPr>
        <w:t>题</w:t>
      </w:r>
      <w:r>
        <w:rPr>
          <w:rFonts w:hint="eastAsia"/>
        </w:rPr>
        <w:t>应具体，</w:t>
      </w:r>
      <w:r>
        <w:rPr>
          <w:rFonts w:hint="eastAsia"/>
          <w:lang w:val="en-US" w:eastAsia="zh-CN"/>
        </w:rPr>
        <w:t>且要将图名译成</w:t>
      </w:r>
      <w:r>
        <w:rPr>
          <w:rFonts w:hint="eastAsia"/>
          <w:b/>
          <w:bCs/>
          <w:color w:val="FF0000"/>
          <w:lang w:val="en-US" w:eastAsia="zh-CN"/>
        </w:rPr>
        <w:t>英文名</w:t>
      </w:r>
      <w:r>
        <w:rPr>
          <w:rFonts w:hint="eastAsia"/>
          <w:lang w:val="en-US" w:eastAsia="zh-CN"/>
        </w:rPr>
        <w:t>。</w:t>
      </w:r>
    </w:p>
  </w:comment>
  <w:comment w:id="21" w:author="王芳其" w:date="2021-11-29T17:52:49Z" w:initials="王">
    <w:p w14:paraId="21020B2F">
      <w:pPr>
        <w:pStyle w:val="2"/>
        <w:adjustRightInd w:val="0"/>
        <w:snapToGrid w:val="0"/>
      </w:pPr>
      <w:r>
        <w:rPr>
          <w:rFonts w:hint="eastAsia"/>
          <w:b/>
          <w:color w:val="FF0000"/>
        </w:rPr>
        <w:t>结论/结语</w:t>
      </w:r>
      <w:r>
        <w:rPr>
          <w:rFonts w:hint="eastAsia"/>
        </w:rPr>
        <w:t xml:space="preserve">  </w:t>
      </w:r>
      <w:r>
        <w:rPr>
          <w:rFonts w:hint="eastAsia"/>
          <w:lang w:val="en-US" w:eastAsia="zh-CN"/>
        </w:rPr>
        <w:t>结论是论文研究成果的提炼与概括，</w:t>
      </w:r>
      <w:r>
        <w:rPr>
          <w:rFonts w:hint="eastAsia"/>
        </w:rPr>
        <w:t>应</w:t>
      </w:r>
      <w:r>
        <w:rPr>
          <w:rFonts w:hint="eastAsia"/>
          <w:lang w:val="en-US" w:eastAsia="zh-CN"/>
        </w:rPr>
        <w:t>客观、</w:t>
      </w:r>
      <w:r>
        <w:rPr>
          <w:rFonts w:hint="eastAsia"/>
        </w:rPr>
        <w:t>严谨</w:t>
      </w:r>
      <w:r>
        <w:rPr>
          <w:rFonts w:hint="eastAsia"/>
          <w:lang w:eastAsia="zh-CN"/>
        </w:rPr>
        <w:t>、</w:t>
      </w:r>
      <w:r>
        <w:rPr>
          <w:rFonts w:hint="eastAsia"/>
        </w:rPr>
        <w:t>准确</w:t>
      </w:r>
      <w:r>
        <w:rPr>
          <w:rFonts w:hint="eastAsia"/>
          <w:lang w:eastAsia="zh-CN"/>
        </w:rPr>
        <w:t>、</w:t>
      </w:r>
      <w:r>
        <w:rPr>
          <w:rFonts w:hint="eastAsia"/>
          <w:lang w:val="en-US" w:eastAsia="zh-CN"/>
        </w:rPr>
        <w:t>完整</w:t>
      </w:r>
      <w:r>
        <w:rPr>
          <w:rFonts w:hint="eastAsia"/>
        </w:rPr>
        <w:t>，如无重要学术价值的结论可不写或写成结语形式。</w:t>
      </w:r>
    </w:p>
  </w:comment>
  <w:comment w:id="22" w:author="王芳其" w:date="2021-11-29T17:55:34Z" w:initials="王">
    <w:p w14:paraId="2A1D33E4">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textAlignment w:val="auto"/>
        <w:outlineLvl w:val="9"/>
        <w:rPr>
          <w:rFonts w:hint="eastAsia" w:ascii="Times New Roman" w:hAnsi="Times New Roman" w:cs="Times New Roman"/>
        </w:rPr>
      </w:pPr>
      <w:r>
        <w:rPr>
          <w:rFonts w:hint="eastAsia" w:ascii="方正黑体简体" w:hAnsi="Times New Roman" w:eastAsia="方正黑体简体" w:cs="Times New Roman"/>
          <w:b/>
          <w:bCs/>
          <w:color w:val="FF0000"/>
        </w:rPr>
        <w:t>参考文献</w:t>
      </w:r>
      <w:r>
        <w:rPr>
          <w:rFonts w:hint="eastAsia" w:ascii="Times New Roman" w:hAnsi="Times New Roman" w:cs="Times New Roman"/>
          <w:b/>
          <w:bCs/>
        </w:rPr>
        <w:t xml:space="preserve"> </w:t>
      </w:r>
      <w:r>
        <w:rPr>
          <w:rFonts w:hint="eastAsia" w:ascii="Times New Roman" w:hAnsi="Times New Roman" w:cs="Times New Roman"/>
        </w:rPr>
        <w:t xml:space="preserve"> 指著者为撰写或编辑论著而阅读过、或供读者进一步阅读（阅读型参考文献）的信息资源，以及</w:t>
      </w:r>
      <w:r>
        <w:rPr>
          <w:rFonts w:ascii="Times New Roman" w:hAnsi="Times New Roman" w:cs="Times New Roman"/>
        </w:rPr>
        <w:t>引用的</w:t>
      </w:r>
      <w:r>
        <w:rPr>
          <w:rFonts w:hint="eastAsia" w:ascii="Times New Roman" w:hAnsi="Times New Roman" w:cs="Times New Roman"/>
        </w:rPr>
        <w:t>信息资源（引文参考文献）</w:t>
      </w:r>
      <w:r>
        <w:rPr>
          <w:rFonts w:ascii="Times New Roman" w:hAnsi="Times New Roman" w:cs="Times New Roman"/>
        </w:rPr>
        <w:t>，</w:t>
      </w:r>
      <w:r>
        <w:rPr>
          <w:rFonts w:hint="eastAsia" w:ascii="Times New Roman" w:hAnsi="Times New Roman" w:cs="Times New Roman"/>
        </w:rPr>
        <w:t>其</w:t>
      </w:r>
      <w:r>
        <w:rPr>
          <w:rFonts w:ascii="Times New Roman" w:hAnsi="Times New Roman" w:cs="Times New Roman"/>
        </w:rPr>
        <w:t>著录应注意准确性和完整性</w:t>
      </w:r>
      <w:r>
        <w:rPr>
          <w:rFonts w:hint="eastAsia" w:ascii="Times New Roman" w:hAnsi="Times New Roman" w:cs="Times New Roman"/>
        </w:rPr>
        <w:t>（见GB/T 7714—2015《信息与文献  参考文献著录规则》）。</w:t>
      </w:r>
    </w:p>
    <w:p w14:paraId="0D2676FF">
      <w:pPr>
        <w:pStyle w:val="4"/>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textAlignment w:val="auto"/>
        <w:outlineLvl w:val="9"/>
        <w:rPr>
          <w:rFonts w:hint="eastAsia" w:ascii="Times New Roman" w:hAnsi="Times New Roman" w:cs="Times New Roman"/>
          <w:shd w:val="clear" w:color="auto" w:fill="FFFFFF"/>
        </w:rPr>
      </w:pPr>
      <w:r>
        <w:rPr>
          <w:rFonts w:hint="eastAsia" w:ascii="Times New Roman" w:hAnsi="Times New Roman" w:cs="Times New Roman"/>
          <w:shd w:val="clear" w:color="auto" w:fill="FFFFFF"/>
        </w:rPr>
        <w:t>参考文献</w:t>
      </w:r>
      <w:r>
        <w:rPr>
          <w:rFonts w:hint="eastAsia" w:ascii="Times New Roman" w:hAnsi="Times New Roman" w:cs="Times New Roman"/>
          <w:shd w:val="clear" w:color="auto" w:fill="FFFFFF"/>
          <w:lang w:val="en-US" w:eastAsia="zh-CN"/>
        </w:rPr>
        <w:t>原则上</w:t>
      </w:r>
      <w:r>
        <w:rPr>
          <w:rFonts w:hint="eastAsia" w:ascii="Times New Roman" w:hAnsi="Times New Roman" w:cs="Times New Roman"/>
          <w:shd w:val="clear" w:color="auto" w:fill="FFFFFF"/>
        </w:rPr>
        <w:t>不少于</w:t>
      </w:r>
      <w:r>
        <w:rPr>
          <w:rFonts w:ascii="Times New Roman" w:hAnsi="Times New Roman" w:cs="Times New Roman"/>
          <w:shd w:val="clear" w:color="auto" w:fill="FFFFFF"/>
        </w:rPr>
        <w:t>15</w:t>
      </w:r>
      <w:r>
        <w:rPr>
          <w:rFonts w:hint="eastAsia" w:ascii="Times New Roman" w:hAnsi="Times New Roman" w:cs="Times New Roman"/>
          <w:shd w:val="clear" w:color="auto" w:fill="FFFFFF"/>
        </w:rPr>
        <w:t>篇；同一种期刊文献不宜过多引用（建议不超过</w:t>
      </w:r>
      <w:r>
        <w:rPr>
          <w:rFonts w:ascii="Times New Roman" w:hAnsi="Times New Roman" w:cs="Times New Roman"/>
          <w:shd w:val="clear" w:color="auto" w:fill="FFFFFF"/>
        </w:rPr>
        <w:t>3</w:t>
      </w:r>
      <w:r>
        <w:rPr>
          <w:rFonts w:hint="eastAsia" w:ascii="Times New Roman" w:hAnsi="Times New Roman" w:cs="Times New Roman"/>
          <w:shd w:val="clear" w:color="auto" w:fill="FFFFFF"/>
        </w:rPr>
        <w:t>篇）；宜引用最近</w:t>
      </w:r>
      <w:r>
        <w:rPr>
          <w:rFonts w:ascii="Times New Roman" w:hAnsi="Times New Roman" w:cs="Times New Roman"/>
          <w:shd w:val="clear" w:color="auto" w:fill="FFFFFF"/>
        </w:rPr>
        <w:t>2</w:t>
      </w:r>
      <w:r>
        <w:rPr>
          <w:rFonts w:hint="eastAsia" w:ascii="Times New Roman" w:hAnsi="Times New Roman" w:cs="Times New Roman"/>
          <w:shd w:val="clear" w:color="auto" w:fill="FFFFFF"/>
        </w:rPr>
        <w:t>～</w:t>
      </w:r>
      <w:r>
        <w:rPr>
          <w:rFonts w:ascii="Times New Roman" w:hAnsi="Times New Roman" w:cs="Times New Roman"/>
          <w:shd w:val="clear" w:color="auto" w:fill="FFFFFF"/>
        </w:rPr>
        <w:t>5</w:t>
      </w:r>
      <w:r>
        <w:rPr>
          <w:rFonts w:hint="eastAsia" w:ascii="Times New Roman" w:hAnsi="Times New Roman" w:cs="Times New Roman"/>
          <w:shd w:val="clear" w:color="auto" w:fill="FFFFFF"/>
        </w:rPr>
        <w:t>年的文献。建议适当引用本刊上发表的文章。</w:t>
      </w:r>
    </w:p>
    <w:p w14:paraId="348071FE">
      <w:pPr>
        <w:pStyle w:val="4"/>
        <w:keepNext w:val="0"/>
        <w:keepLines w:val="0"/>
        <w:pageBreakBefore w:val="0"/>
        <w:widowControl w:val="0"/>
        <w:kinsoku/>
        <w:wordWrap/>
        <w:overflowPunct/>
        <w:topLinePunct w:val="0"/>
        <w:autoSpaceDE/>
        <w:autoSpaceDN/>
        <w:bidi w:val="0"/>
        <w:adjustRightInd w:val="0"/>
        <w:snapToGrid w:val="0"/>
        <w:spacing w:line="240" w:lineRule="auto"/>
        <w:ind w:right="0" w:rightChars="0"/>
        <w:textAlignment w:val="auto"/>
        <w:outlineLvl w:val="9"/>
        <w:rPr>
          <w:rFonts w:hint="eastAsia" w:ascii="Times New Roman" w:hAnsi="宋体" w:cs="Times New Roman"/>
        </w:rPr>
      </w:pPr>
      <w:r>
        <w:rPr>
          <w:rFonts w:ascii="Times New Roman" w:hAnsi="宋体" w:cs="Times New Roman"/>
        </w:rPr>
        <w:t>外文参考文献与中文参考文献的著录要求一致，著者采用姓前名后的写法，姓全部著录</w:t>
      </w:r>
      <w:r>
        <w:rPr>
          <w:rFonts w:hint="eastAsia" w:ascii="Times New Roman" w:hAnsi="宋体" w:cs="Times New Roman"/>
        </w:rPr>
        <w:t>、</w:t>
      </w:r>
      <w:r>
        <w:rPr>
          <w:rFonts w:ascii="Times New Roman" w:hAnsi="宋体" w:cs="Times New Roman"/>
        </w:rPr>
        <w:t>姓</w:t>
      </w:r>
      <w:r>
        <w:rPr>
          <w:rFonts w:hint="eastAsia" w:ascii="Times New Roman" w:hAnsi="宋体" w:cs="Times New Roman"/>
        </w:rPr>
        <w:t>字母全部大写，</w:t>
      </w:r>
      <w:r>
        <w:rPr>
          <w:rFonts w:ascii="Times New Roman" w:hAnsi="宋体" w:cs="Times New Roman"/>
        </w:rPr>
        <w:t>名可缩写为首字母</w:t>
      </w:r>
      <w:r>
        <w:rPr>
          <w:rFonts w:hint="eastAsia" w:ascii="Times New Roman" w:hAnsi="宋体" w:cs="Times New Roman"/>
        </w:rPr>
        <w:t>、大写</w:t>
      </w:r>
      <w:r>
        <w:rPr>
          <w:rFonts w:ascii="Times New Roman" w:hAnsi="宋体" w:cs="Times New Roman"/>
        </w:rPr>
        <w:t>，缩写名后省略缩写点。</w:t>
      </w:r>
    </w:p>
    <w:p w14:paraId="4993250F">
      <w:pPr>
        <w:pStyle w:val="2"/>
        <w:keepNext w:val="0"/>
        <w:keepLines w:val="0"/>
        <w:pageBreakBefore w:val="0"/>
        <w:widowControl w:val="0"/>
        <w:kinsoku/>
        <w:wordWrap/>
        <w:overflowPunct/>
        <w:topLinePunct w:val="0"/>
        <w:autoSpaceDE/>
        <w:autoSpaceDN/>
        <w:bidi w:val="0"/>
        <w:spacing w:line="240" w:lineRule="auto"/>
        <w:ind w:left="0" w:leftChars="0" w:right="0" w:rightChars="0"/>
        <w:textAlignment w:val="auto"/>
        <w:outlineLvl w:val="9"/>
        <w:rPr>
          <w:rFonts w:hint="eastAsia" w:ascii="Times New Roman" w:hAnsi="Times New Roman" w:cs="Times New Roman"/>
        </w:rPr>
      </w:pPr>
      <w:r>
        <w:rPr>
          <w:rFonts w:hint="eastAsia" w:ascii="Times New Roman" w:hAnsi="Times New Roman" w:cs="Times New Roman"/>
        </w:rPr>
        <w:t>本刊根据引文顺序编码制编排。</w:t>
      </w:r>
    </w:p>
    <w:p w14:paraId="2C105E22">
      <w:pPr>
        <w:pStyle w:val="2"/>
        <w:keepNext w:val="0"/>
        <w:keepLines w:val="0"/>
        <w:pageBreakBefore w:val="0"/>
        <w:widowControl w:val="0"/>
        <w:kinsoku/>
        <w:wordWrap/>
        <w:overflowPunct/>
        <w:topLinePunct w:val="0"/>
        <w:autoSpaceDE/>
        <w:autoSpaceDN/>
        <w:bidi w:val="0"/>
        <w:spacing w:line="240" w:lineRule="auto"/>
        <w:ind w:left="0" w:leftChars="0" w:right="0" w:rightChars="0"/>
        <w:textAlignment w:val="auto"/>
        <w:outlineLvl w:val="9"/>
        <w:rPr>
          <w:rFonts w:hint="eastAsia" w:ascii="Times New Roman" w:hAnsi="Times New Roman" w:cs="Times New Roman" w:eastAsiaTheme="minorEastAsia"/>
          <w:lang w:val="en-US" w:eastAsia="zh-CN"/>
        </w:rPr>
      </w:pPr>
      <w:r>
        <w:rPr>
          <w:rFonts w:hint="eastAsia" w:ascii="Times New Roman" w:hAnsi="Times New Roman" w:cs="Times New Roman"/>
          <w:lang w:val="en-US" w:eastAsia="zh-CN"/>
        </w:rPr>
        <w:t>参考文献应有相应的</w:t>
      </w:r>
      <w:r>
        <w:rPr>
          <w:rFonts w:hint="eastAsia" w:ascii="Times New Roman" w:hAnsi="Times New Roman" w:cs="Times New Roman"/>
          <w:b/>
          <w:bCs/>
          <w:color w:val="FF0000"/>
          <w:lang w:val="en-US" w:eastAsia="zh-CN"/>
        </w:rPr>
        <w:t>英文析出。</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2040678" w15:done="0"/>
  <w15:commentEx w15:paraId="303041E3" w15:done="0"/>
  <w15:commentEx w15:paraId="791D4B3F" w15:done="0"/>
  <w15:commentEx w15:paraId="54661F94" w15:done="0"/>
  <w15:commentEx w15:paraId="6BB37AD3" w15:done="0"/>
  <w15:commentEx w15:paraId="3B2B1139" w15:done="0"/>
  <w15:commentEx w15:paraId="4B1724F7" w15:done="0"/>
  <w15:commentEx w15:paraId="3F151EDC" w15:done="0"/>
  <w15:commentEx w15:paraId="4FC806D3" w15:done="0"/>
  <w15:commentEx w15:paraId="1E6D609D" w15:done="0"/>
  <w15:commentEx w15:paraId="385B39C4" w15:done="0"/>
  <w15:commentEx w15:paraId="0F7F1DF3" w15:done="0"/>
  <w15:commentEx w15:paraId="162B4091" w15:done="0"/>
  <w15:commentEx w15:paraId="6A682D1F" w15:done="0"/>
  <w15:commentEx w15:paraId="073E3C95" w15:done="0"/>
  <w15:commentEx w15:paraId="21DE3504" w15:done="0"/>
  <w15:commentEx w15:paraId="4E145A7C" w15:done="0"/>
  <w15:commentEx w15:paraId="03D80A24" w15:done="0"/>
  <w15:commentEx w15:paraId="08D675C4" w15:done="0"/>
  <w15:commentEx w15:paraId="6E4C434E" w15:done="0"/>
  <w15:commentEx w15:paraId="7EA57DD3" w15:done="0"/>
  <w15:commentEx w15:paraId="21020B2F" w15:done="0"/>
  <w15:commentEx w15:paraId="2C105E2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方正黑体简体">
    <w:altName w:val="微软雅黑"/>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宋体" w:hAnsi="宋体" w:eastAsia="宋体" w:cs="宋体"/>
                              <w:sz w:val="18"/>
                              <w:lang w:eastAsia="zh-CN"/>
                            </w:rPr>
                          </w:pP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PAGE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w:t>
                          </w:r>
                          <w:r>
                            <w:rPr>
                              <w:rFonts w:hint="eastAsia" w:ascii="宋体" w:hAnsi="宋体" w:eastAsia="宋体" w:cs="宋体"/>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ascii="宋体" w:hAnsi="宋体" w:eastAsia="宋体" w:cs="宋体"/>
                        <w:sz w:val="18"/>
                        <w:lang w:eastAsia="zh-CN"/>
                      </w:rPr>
                    </w:pP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PAGE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w:t>
                    </w:r>
                    <w:r>
                      <w:rPr>
                        <w:rFonts w:hint="eastAsia" w:ascii="宋体" w:hAnsi="宋体" w:eastAsia="宋体" w:cs="宋体"/>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3774C1"/>
    <w:multiLevelType w:val="singleLevel"/>
    <w:tmpl w:val="483774C1"/>
    <w:lvl w:ilvl="0" w:tentative="0">
      <w:start w:val="12"/>
      <w:numFmt w:val="decimal"/>
      <w:lvlText w:val="[%1]"/>
      <w:lvlJc w:val="left"/>
      <w:pPr>
        <w:tabs>
          <w:tab w:val="left" w:pos="312"/>
        </w:tabs>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芳其">
    <w15:presenceInfo w15:providerId="None" w15:userId="王芳其"/>
  </w15:person>
  <w15:person w15:author="肖述">
    <w15:presenceInfo w15:providerId="None" w15:userId="肖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3MTc0YjI0MzM2YWE3N2MwOTBhMmQ1OGVhZGRlZDMifQ=="/>
  </w:docVars>
  <w:rsids>
    <w:rsidRoot w:val="00132501"/>
    <w:rsid w:val="00002165"/>
    <w:rsid w:val="0002768C"/>
    <w:rsid w:val="0003051C"/>
    <w:rsid w:val="00034EB7"/>
    <w:rsid w:val="00036067"/>
    <w:rsid w:val="000430D4"/>
    <w:rsid w:val="00044766"/>
    <w:rsid w:val="00044DC5"/>
    <w:rsid w:val="0004717D"/>
    <w:rsid w:val="00067D19"/>
    <w:rsid w:val="00092DFE"/>
    <w:rsid w:val="00095523"/>
    <w:rsid w:val="000969D2"/>
    <w:rsid w:val="000B01E0"/>
    <w:rsid w:val="000B4BFC"/>
    <w:rsid w:val="000B6503"/>
    <w:rsid w:val="000B7FFC"/>
    <w:rsid w:val="000C7A78"/>
    <w:rsid w:val="000D0962"/>
    <w:rsid w:val="000D6D02"/>
    <w:rsid w:val="000F7B3A"/>
    <w:rsid w:val="001020C6"/>
    <w:rsid w:val="00110896"/>
    <w:rsid w:val="00120A70"/>
    <w:rsid w:val="00122A31"/>
    <w:rsid w:val="0012300A"/>
    <w:rsid w:val="00123649"/>
    <w:rsid w:val="00130762"/>
    <w:rsid w:val="00132501"/>
    <w:rsid w:val="00136A7F"/>
    <w:rsid w:val="001422A6"/>
    <w:rsid w:val="001424E5"/>
    <w:rsid w:val="00142F69"/>
    <w:rsid w:val="00151598"/>
    <w:rsid w:val="001556FB"/>
    <w:rsid w:val="00155CAA"/>
    <w:rsid w:val="00166DF1"/>
    <w:rsid w:val="00167859"/>
    <w:rsid w:val="001831FB"/>
    <w:rsid w:val="00195972"/>
    <w:rsid w:val="001A2420"/>
    <w:rsid w:val="001A2A40"/>
    <w:rsid w:val="001C6602"/>
    <w:rsid w:val="001C74B2"/>
    <w:rsid w:val="001D680E"/>
    <w:rsid w:val="001E68D7"/>
    <w:rsid w:val="001E6A56"/>
    <w:rsid w:val="001F16D3"/>
    <w:rsid w:val="001F2752"/>
    <w:rsid w:val="001F2DD4"/>
    <w:rsid w:val="001F37CB"/>
    <w:rsid w:val="001F5086"/>
    <w:rsid w:val="00214AE3"/>
    <w:rsid w:val="002324C1"/>
    <w:rsid w:val="00242293"/>
    <w:rsid w:val="00247745"/>
    <w:rsid w:val="002610BA"/>
    <w:rsid w:val="002650ED"/>
    <w:rsid w:val="0027014E"/>
    <w:rsid w:val="00283507"/>
    <w:rsid w:val="00295157"/>
    <w:rsid w:val="00295F22"/>
    <w:rsid w:val="002A26AD"/>
    <w:rsid w:val="002A3A8A"/>
    <w:rsid w:val="002A3C8B"/>
    <w:rsid w:val="002C7B7B"/>
    <w:rsid w:val="002E1E8E"/>
    <w:rsid w:val="002E3C7E"/>
    <w:rsid w:val="002E4872"/>
    <w:rsid w:val="002F526A"/>
    <w:rsid w:val="002F6B4E"/>
    <w:rsid w:val="002F6F90"/>
    <w:rsid w:val="00300945"/>
    <w:rsid w:val="00300F13"/>
    <w:rsid w:val="00301E20"/>
    <w:rsid w:val="003073FA"/>
    <w:rsid w:val="00307F2B"/>
    <w:rsid w:val="003114F9"/>
    <w:rsid w:val="00312DF9"/>
    <w:rsid w:val="00314E7D"/>
    <w:rsid w:val="003150D5"/>
    <w:rsid w:val="00322DC7"/>
    <w:rsid w:val="00326C42"/>
    <w:rsid w:val="00327FA9"/>
    <w:rsid w:val="00332CC8"/>
    <w:rsid w:val="003372CE"/>
    <w:rsid w:val="00341403"/>
    <w:rsid w:val="0034601E"/>
    <w:rsid w:val="003461D1"/>
    <w:rsid w:val="00351526"/>
    <w:rsid w:val="003543E2"/>
    <w:rsid w:val="00354A1C"/>
    <w:rsid w:val="0035574F"/>
    <w:rsid w:val="003616AD"/>
    <w:rsid w:val="003761B3"/>
    <w:rsid w:val="00385048"/>
    <w:rsid w:val="0038770C"/>
    <w:rsid w:val="00390353"/>
    <w:rsid w:val="003A00EC"/>
    <w:rsid w:val="003A3E11"/>
    <w:rsid w:val="003C6115"/>
    <w:rsid w:val="003E3D9B"/>
    <w:rsid w:val="003E65CE"/>
    <w:rsid w:val="003F6475"/>
    <w:rsid w:val="004071DF"/>
    <w:rsid w:val="00407526"/>
    <w:rsid w:val="004102F3"/>
    <w:rsid w:val="00436B1F"/>
    <w:rsid w:val="00443186"/>
    <w:rsid w:val="00444366"/>
    <w:rsid w:val="00445245"/>
    <w:rsid w:val="004471FD"/>
    <w:rsid w:val="00457907"/>
    <w:rsid w:val="0047533C"/>
    <w:rsid w:val="00482BFE"/>
    <w:rsid w:val="00497B5C"/>
    <w:rsid w:val="004B0D04"/>
    <w:rsid w:val="004B378E"/>
    <w:rsid w:val="004B3D1B"/>
    <w:rsid w:val="004D3FDB"/>
    <w:rsid w:val="004D7655"/>
    <w:rsid w:val="004E066C"/>
    <w:rsid w:val="004E3B72"/>
    <w:rsid w:val="004F5798"/>
    <w:rsid w:val="005069D8"/>
    <w:rsid w:val="00510F94"/>
    <w:rsid w:val="00515024"/>
    <w:rsid w:val="00515E9F"/>
    <w:rsid w:val="00517F33"/>
    <w:rsid w:val="00531B7B"/>
    <w:rsid w:val="00541910"/>
    <w:rsid w:val="005430E9"/>
    <w:rsid w:val="00543325"/>
    <w:rsid w:val="005434E4"/>
    <w:rsid w:val="0055616D"/>
    <w:rsid w:val="0056548D"/>
    <w:rsid w:val="00572213"/>
    <w:rsid w:val="005852AC"/>
    <w:rsid w:val="005A04DC"/>
    <w:rsid w:val="005B19E8"/>
    <w:rsid w:val="005B26AA"/>
    <w:rsid w:val="005B491C"/>
    <w:rsid w:val="005D2380"/>
    <w:rsid w:val="005D32B2"/>
    <w:rsid w:val="005E0A65"/>
    <w:rsid w:val="005E3D42"/>
    <w:rsid w:val="005F665A"/>
    <w:rsid w:val="005F7BE5"/>
    <w:rsid w:val="00600394"/>
    <w:rsid w:val="00601BDB"/>
    <w:rsid w:val="00602FC8"/>
    <w:rsid w:val="006143EB"/>
    <w:rsid w:val="006150F9"/>
    <w:rsid w:val="00616ED5"/>
    <w:rsid w:val="006172F4"/>
    <w:rsid w:val="00620163"/>
    <w:rsid w:val="006217F2"/>
    <w:rsid w:val="00646E65"/>
    <w:rsid w:val="006511DF"/>
    <w:rsid w:val="006544B2"/>
    <w:rsid w:val="00664874"/>
    <w:rsid w:val="0067265E"/>
    <w:rsid w:val="00682C2A"/>
    <w:rsid w:val="00683A99"/>
    <w:rsid w:val="006846FD"/>
    <w:rsid w:val="006911C3"/>
    <w:rsid w:val="006A1914"/>
    <w:rsid w:val="006A4598"/>
    <w:rsid w:val="006B00BE"/>
    <w:rsid w:val="006B5495"/>
    <w:rsid w:val="006D35A5"/>
    <w:rsid w:val="006D4AE8"/>
    <w:rsid w:val="006E4DD3"/>
    <w:rsid w:val="006F546A"/>
    <w:rsid w:val="0072258D"/>
    <w:rsid w:val="00727C51"/>
    <w:rsid w:val="007327A5"/>
    <w:rsid w:val="007444B6"/>
    <w:rsid w:val="00747053"/>
    <w:rsid w:val="00752360"/>
    <w:rsid w:val="007572AC"/>
    <w:rsid w:val="00757AF0"/>
    <w:rsid w:val="00766331"/>
    <w:rsid w:val="0077305A"/>
    <w:rsid w:val="007739B9"/>
    <w:rsid w:val="00776327"/>
    <w:rsid w:val="00783AAB"/>
    <w:rsid w:val="0079464B"/>
    <w:rsid w:val="0079646C"/>
    <w:rsid w:val="007A2DEC"/>
    <w:rsid w:val="007A710D"/>
    <w:rsid w:val="007A74C4"/>
    <w:rsid w:val="007A7CDA"/>
    <w:rsid w:val="007C7394"/>
    <w:rsid w:val="007D1855"/>
    <w:rsid w:val="007D2018"/>
    <w:rsid w:val="007E0E5D"/>
    <w:rsid w:val="007E15F1"/>
    <w:rsid w:val="007E70EF"/>
    <w:rsid w:val="007F06E7"/>
    <w:rsid w:val="007F7740"/>
    <w:rsid w:val="0080384F"/>
    <w:rsid w:val="00805ED9"/>
    <w:rsid w:val="00811CC0"/>
    <w:rsid w:val="008201A4"/>
    <w:rsid w:val="00830E63"/>
    <w:rsid w:val="00833B91"/>
    <w:rsid w:val="00840D5F"/>
    <w:rsid w:val="00841791"/>
    <w:rsid w:val="008468E9"/>
    <w:rsid w:val="008501AD"/>
    <w:rsid w:val="00850EBC"/>
    <w:rsid w:val="00864D8E"/>
    <w:rsid w:val="00864FF2"/>
    <w:rsid w:val="00880FE8"/>
    <w:rsid w:val="00890C97"/>
    <w:rsid w:val="00894A91"/>
    <w:rsid w:val="008970B1"/>
    <w:rsid w:val="008B3316"/>
    <w:rsid w:val="008D0301"/>
    <w:rsid w:val="008D7622"/>
    <w:rsid w:val="008E263E"/>
    <w:rsid w:val="008E49DC"/>
    <w:rsid w:val="008E5B33"/>
    <w:rsid w:val="008E5BBE"/>
    <w:rsid w:val="008E702B"/>
    <w:rsid w:val="008E7D46"/>
    <w:rsid w:val="008F1D9B"/>
    <w:rsid w:val="008F39A1"/>
    <w:rsid w:val="008F4093"/>
    <w:rsid w:val="00903204"/>
    <w:rsid w:val="00904CFA"/>
    <w:rsid w:val="00916678"/>
    <w:rsid w:val="00916FFF"/>
    <w:rsid w:val="00926CB5"/>
    <w:rsid w:val="009307E8"/>
    <w:rsid w:val="00947DEB"/>
    <w:rsid w:val="00954ED6"/>
    <w:rsid w:val="009663AB"/>
    <w:rsid w:val="00970C0A"/>
    <w:rsid w:val="00974B46"/>
    <w:rsid w:val="00974EB9"/>
    <w:rsid w:val="009776C0"/>
    <w:rsid w:val="009833B6"/>
    <w:rsid w:val="00985071"/>
    <w:rsid w:val="009931C3"/>
    <w:rsid w:val="00997E76"/>
    <w:rsid w:val="009A29DF"/>
    <w:rsid w:val="009A3E58"/>
    <w:rsid w:val="009A6C33"/>
    <w:rsid w:val="009B2674"/>
    <w:rsid w:val="009C1160"/>
    <w:rsid w:val="009D2505"/>
    <w:rsid w:val="009D78AB"/>
    <w:rsid w:val="009E14AB"/>
    <w:rsid w:val="009E3646"/>
    <w:rsid w:val="009E4AB3"/>
    <w:rsid w:val="009F0EF2"/>
    <w:rsid w:val="009F59B5"/>
    <w:rsid w:val="009F69F1"/>
    <w:rsid w:val="00A203CF"/>
    <w:rsid w:val="00A22B29"/>
    <w:rsid w:val="00A237FA"/>
    <w:rsid w:val="00A277D0"/>
    <w:rsid w:val="00A2780F"/>
    <w:rsid w:val="00A46304"/>
    <w:rsid w:val="00A468FC"/>
    <w:rsid w:val="00A506B3"/>
    <w:rsid w:val="00A54105"/>
    <w:rsid w:val="00A60E2D"/>
    <w:rsid w:val="00A6227B"/>
    <w:rsid w:val="00A62F30"/>
    <w:rsid w:val="00A65138"/>
    <w:rsid w:val="00A6712C"/>
    <w:rsid w:val="00A711EB"/>
    <w:rsid w:val="00A76208"/>
    <w:rsid w:val="00A819D9"/>
    <w:rsid w:val="00A86B29"/>
    <w:rsid w:val="00A96191"/>
    <w:rsid w:val="00A973A2"/>
    <w:rsid w:val="00AA13EE"/>
    <w:rsid w:val="00AA2377"/>
    <w:rsid w:val="00AA48BF"/>
    <w:rsid w:val="00AB4951"/>
    <w:rsid w:val="00AB61E6"/>
    <w:rsid w:val="00AC1D2A"/>
    <w:rsid w:val="00AC7F3B"/>
    <w:rsid w:val="00AC7F84"/>
    <w:rsid w:val="00AE0F02"/>
    <w:rsid w:val="00AF68FD"/>
    <w:rsid w:val="00B0093F"/>
    <w:rsid w:val="00B036F6"/>
    <w:rsid w:val="00B05A1F"/>
    <w:rsid w:val="00B05D5F"/>
    <w:rsid w:val="00B06177"/>
    <w:rsid w:val="00B107E6"/>
    <w:rsid w:val="00B11C59"/>
    <w:rsid w:val="00B13ED0"/>
    <w:rsid w:val="00B1555A"/>
    <w:rsid w:val="00B20D90"/>
    <w:rsid w:val="00B219D2"/>
    <w:rsid w:val="00B3348C"/>
    <w:rsid w:val="00B34ECB"/>
    <w:rsid w:val="00B363E3"/>
    <w:rsid w:val="00B37E43"/>
    <w:rsid w:val="00B40A99"/>
    <w:rsid w:val="00B40F18"/>
    <w:rsid w:val="00B43351"/>
    <w:rsid w:val="00B52A07"/>
    <w:rsid w:val="00B534C8"/>
    <w:rsid w:val="00B649BC"/>
    <w:rsid w:val="00B67991"/>
    <w:rsid w:val="00B67B2A"/>
    <w:rsid w:val="00B67B57"/>
    <w:rsid w:val="00B705D9"/>
    <w:rsid w:val="00B70C19"/>
    <w:rsid w:val="00B71D05"/>
    <w:rsid w:val="00B76AB7"/>
    <w:rsid w:val="00B810BD"/>
    <w:rsid w:val="00B83E27"/>
    <w:rsid w:val="00B85CFA"/>
    <w:rsid w:val="00B91DEC"/>
    <w:rsid w:val="00BA68A9"/>
    <w:rsid w:val="00BB013F"/>
    <w:rsid w:val="00BB1E2E"/>
    <w:rsid w:val="00BB53AF"/>
    <w:rsid w:val="00BB78B1"/>
    <w:rsid w:val="00BD0B79"/>
    <w:rsid w:val="00BD0E84"/>
    <w:rsid w:val="00BD434F"/>
    <w:rsid w:val="00BE5C11"/>
    <w:rsid w:val="00BF3271"/>
    <w:rsid w:val="00BF527F"/>
    <w:rsid w:val="00C05281"/>
    <w:rsid w:val="00C11E06"/>
    <w:rsid w:val="00C124D0"/>
    <w:rsid w:val="00C12510"/>
    <w:rsid w:val="00C203F2"/>
    <w:rsid w:val="00C21AE1"/>
    <w:rsid w:val="00C23DC4"/>
    <w:rsid w:val="00C25A51"/>
    <w:rsid w:val="00C51F6A"/>
    <w:rsid w:val="00C521FE"/>
    <w:rsid w:val="00C52338"/>
    <w:rsid w:val="00C55578"/>
    <w:rsid w:val="00C55FD5"/>
    <w:rsid w:val="00C65499"/>
    <w:rsid w:val="00C65823"/>
    <w:rsid w:val="00C70DF4"/>
    <w:rsid w:val="00C757AF"/>
    <w:rsid w:val="00C75C61"/>
    <w:rsid w:val="00C817E3"/>
    <w:rsid w:val="00C8542D"/>
    <w:rsid w:val="00CA05E7"/>
    <w:rsid w:val="00CA46B9"/>
    <w:rsid w:val="00CA611D"/>
    <w:rsid w:val="00CB6854"/>
    <w:rsid w:val="00CB6A6E"/>
    <w:rsid w:val="00CC024F"/>
    <w:rsid w:val="00CC3884"/>
    <w:rsid w:val="00CC430C"/>
    <w:rsid w:val="00CD5023"/>
    <w:rsid w:val="00CD5132"/>
    <w:rsid w:val="00CD7ABE"/>
    <w:rsid w:val="00CF05A8"/>
    <w:rsid w:val="00CF0D06"/>
    <w:rsid w:val="00CF0EE3"/>
    <w:rsid w:val="00CF2D7C"/>
    <w:rsid w:val="00CF3F80"/>
    <w:rsid w:val="00CF4F19"/>
    <w:rsid w:val="00D11F67"/>
    <w:rsid w:val="00D16485"/>
    <w:rsid w:val="00D168DF"/>
    <w:rsid w:val="00D221AA"/>
    <w:rsid w:val="00D22513"/>
    <w:rsid w:val="00D22FBB"/>
    <w:rsid w:val="00D2376A"/>
    <w:rsid w:val="00D26D9C"/>
    <w:rsid w:val="00D30E08"/>
    <w:rsid w:val="00D311CA"/>
    <w:rsid w:val="00D70073"/>
    <w:rsid w:val="00D7130D"/>
    <w:rsid w:val="00D74CA8"/>
    <w:rsid w:val="00D77913"/>
    <w:rsid w:val="00D86FC5"/>
    <w:rsid w:val="00D91D06"/>
    <w:rsid w:val="00D94623"/>
    <w:rsid w:val="00D94BDE"/>
    <w:rsid w:val="00DA1B74"/>
    <w:rsid w:val="00DA4C57"/>
    <w:rsid w:val="00DA50BB"/>
    <w:rsid w:val="00DB2C4F"/>
    <w:rsid w:val="00DB5C95"/>
    <w:rsid w:val="00DC058D"/>
    <w:rsid w:val="00DC1BE7"/>
    <w:rsid w:val="00DD17FE"/>
    <w:rsid w:val="00DD6D55"/>
    <w:rsid w:val="00DD7D42"/>
    <w:rsid w:val="00DE4566"/>
    <w:rsid w:val="00DF3FFF"/>
    <w:rsid w:val="00DF5F3A"/>
    <w:rsid w:val="00E22B5D"/>
    <w:rsid w:val="00E24190"/>
    <w:rsid w:val="00E25D96"/>
    <w:rsid w:val="00E27717"/>
    <w:rsid w:val="00E33F19"/>
    <w:rsid w:val="00E35636"/>
    <w:rsid w:val="00E41C8F"/>
    <w:rsid w:val="00E5061A"/>
    <w:rsid w:val="00E56ADD"/>
    <w:rsid w:val="00E63921"/>
    <w:rsid w:val="00E66FAC"/>
    <w:rsid w:val="00E75C89"/>
    <w:rsid w:val="00E838D9"/>
    <w:rsid w:val="00E963C8"/>
    <w:rsid w:val="00E97674"/>
    <w:rsid w:val="00EA7780"/>
    <w:rsid w:val="00EB0427"/>
    <w:rsid w:val="00EB20A7"/>
    <w:rsid w:val="00EB24A0"/>
    <w:rsid w:val="00EB628B"/>
    <w:rsid w:val="00EC0ABA"/>
    <w:rsid w:val="00EC7E28"/>
    <w:rsid w:val="00EE2249"/>
    <w:rsid w:val="00EF37D3"/>
    <w:rsid w:val="00EF423D"/>
    <w:rsid w:val="00F0600C"/>
    <w:rsid w:val="00F12735"/>
    <w:rsid w:val="00F2409B"/>
    <w:rsid w:val="00F33F67"/>
    <w:rsid w:val="00F508FC"/>
    <w:rsid w:val="00F5210F"/>
    <w:rsid w:val="00F563EB"/>
    <w:rsid w:val="00F64088"/>
    <w:rsid w:val="00F67B3E"/>
    <w:rsid w:val="00F70973"/>
    <w:rsid w:val="00F71D38"/>
    <w:rsid w:val="00F741A6"/>
    <w:rsid w:val="00F81004"/>
    <w:rsid w:val="00F8512B"/>
    <w:rsid w:val="00F97187"/>
    <w:rsid w:val="00F97E0A"/>
    <w:rsid w:val="00FA0197"/>
    <w:rsid w:val="00FA748B"/>
    <w:rsid w:val="00FB29C7"/>
    <w:rsid w:val="00FB2D7B"/>
    <w:rsid w:val="00FC22CB"/>
    <w:rsid w:val="00FC6469"/>
    <w:rsid w:val="00FC64BE"/>
    <w:rsid w:val="00FC6A00"/>
    <w:rsid w:val="00FC7343"/>
    <w:rsid w:val="00FD0662"/>
    <w:rsid w:val="00FD7F78"/>
    <w:rsid w:val="00FF2808"/>
    <w:rsid w:val="00FF6170"/>
    <w:rsid w:val="049528BD"/>
    <w:rsid w:val="06683C08"/>
    <w:rsid w:val="06B87646"/>
    <w:rsid w:val="0C9A7521"/>
    <w:rsid w:val="155F4794"/>
    <w:rsid w:val="17A52D0E"/>
    <w:rsid w:val="217F2823"/>
    <w:rsid w:val="22A26ED2"/>
    <w:rsid w:val="22E1134D"/>
    <w:rsid w:val="242003AB"/>
    <w:rsid w:val="2C3E39FC"/>
    <w:rsid w:val="2CD54599"/>
    <w:rsid w:val="2D2730B3"/>
    <w:rsid w:val="2FAA37EC"/>
    <w:rsid w:val="2FF54E64"/>
    <w:rsid w:val="30532751"/>
    <w:rsid w:val="392C0401"/>
    <w:rsid w:val="3F6D6153"/>
    <w:rsid w:val="43597089"/>
    <w:rsid w:val="45F96FCD"/>
    <w:rsid w:val="496F4E2E"/>
    <w:rsid w:val="4C1E314E"/>
    <w:rsid w:val="4C3C65C3"/>
    <w:rsid w:val="521C749C"/>
    <w:rsid w:val="5360620E"/>
    <w:rsid w:val="53A16538"/>
    <w:rsid w:val="57283E0B"/>
    <w:rsid w:val="587E1FEE"/>
    <w:rsid w:val="59756AEE"/>
    <w:rsid w:val="5B612B29"/>
    <w:rsid w:val="62CC6395"/>
    <w:rsid w:val="663A084E"/>
    <w:rsid w:val="71BC5C43"/>
    <w:rsid w:val="72C45F28"/>
    <w:rsid w:val="72F21568"/>
    <w:rsid w:val="755D54FC"/>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22"/>
    <w:unhideWhenUsed/>
    <w:qFormat/>
    <w:uiPriority w:val="99"/>
    <w:pPr>
      <w:jc w:val="left"/>
    </w:pPr>
  </w:style>
  <w:style w:type="paragraph" w:styleId="3">
    <w:name w:val="Body Text Indent"/>
    <w:basedOn w:val="1"/>
    <w:link w:val="21"/>
    <w:qFormat/>
    <w:uiPriority w:val="0"/>
    <w:pPr>
      <w:ind w:firstLine="420"/>
    </w:pPr>
  </w:style>
  <w:style w:type="paragraph" w:styleId="4">
    <w:name w:val="Plain Text"/>
    <w:basedOn w:val="1"/>
    <w:unhideWhenUsed/>
    <w:qFormat/>
    <w:uiPriority w:val="99"/>
    <w:rPr>
      <w:rFonts w:ascii="宋体" w:hAnsi="Courier New" w:cs="Courier New"/>
      <w:szCs w:val="21"/>
    </w:rPr>
  </w:style>
  <w:style w:type="paragraph" w:styleId="5">
    <w:name w:val="Balloon Text"/>
    <w:basedOn w:val="1"/>
    <w:link w:val="24"/>
    <w:unhideWhenUsed/>
    <w:qFormat/>
    <w:uiPriority w:val="99"/>
    <w:rPr>
      <w:sz w:val="18"/>
      <w:szCs w:val="18"/>
    </w:rPr>
  </w:style>
  <w:style w:type="paragraph" w:styleId="6">
    <w:name w:val="footer"/>
    <w:basedOn w:val="1"/>
    <w:link w:val="20"/>
    <w:unhideWhenUsed/>
    <w:qFormat/>
    <w:uiPriority w:val="99"/>
    <w:pPr>
      <w:tabs>
        <w:tab w:val="center" w:pos="4153"/>
        <w:tab w:val="right" w:pos="8306"/>
      </w:tabs>
      <w:snapToGrid w:val="0"/>
      <w:jc w:val="left"/>
    </w:pPr>
    <w:rPr>
      <w:sz w:val="18"/>
      <w:szCs w:val="18"/>
    </w:rPr>
  </w:style>
  <w:style w:type="paragraph" w:styleId="7">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2"/>
    <w:next w:val="2"/>
    <w:link w:val="23"/>
    <w:unhideWhenUsed/>
    <w:qFormat/>
    <w:uiPriority w:val="99"/>
    <w:rPr>
      <w:b/>
      <w:bCs/>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unhideWhenUsed/>
    <w:qFormat/>
    <w:uiPriority w:val="99"/>
    <w:rPr>
      <w:color w:val="0479BC"/>
      <w:u w:val="single"/>
    </w:rPr>
  </w:style>
  <w:style w:type="character" w:styleId="13">
    <w:name w:val="annotation reference"/>
    <w:basedOn w:val="11"/>
    <w:unhideWhenUsed/>
    <w:qFormat/>
    <w:uiPriority w:val="99"/>
    <w:rPr>
      <w:sz w:val="21"/>
      <w:szCs w:val="21"/>
    </w:rPr>
  </w:style>
  <w:style w:type="character" w:customStyle="1" w:styleId="14">
    <w:name w:val="表头中文 字符"/>
    <w:link w:val="15"/>
    <w:qFormat/>
    <w:uiPriority w:val="0"/>
    <w:rPr>
      <w:rFonts w:ascii="Times New Roman" w:hAnsi="Times New Roman" w:eastAsia="黑体"/>
      <w:bCs/>
      <w:color w:val="000000"/>
      <w:sz w:val="18"/>
      <w:szCs w:val="21"/>
      <w:lang w:val="en"/>
    </w:rPr>
  </w:style>
  <w:style w:type="paragraph" w:customStyle="1" w:styleId="15">
    <w:name w:val="表头中文"/>
    <w:basedOn w:val="1"/>
    <w:link w:val="14"/>
    <w:qFormat/>
    <w:uiPriority w:val="0"/>
    <w:pPr>
      <w:widowControl/>
      <w:spacing w:before="93" w:beforeLines="30"/>
      <w:jc w:val="center"/>
    </w:pPr>
    <w:rPr>
      <w:rFonts w:ascii="Times New Roman" w:hAnsi="Times New Roman" w:eastAsia="黑体"/>
      <w:bCs/>
      <w:color w:val="000000"/>
      <w:sz w:val="18"/>
      <w:szCs w:val="21"/>
      <w:lang w:val="en"/>
    </w:rPr>
  </w:style>
  <w:style w:type="character" w:customStyle="1" w:styleId="16">
    <w:name w:val="表格 字符"/>
    <w:link w:val="17"/>
    <w:qFormat/>
    <w:uiPriority w:val="0"/>
    <w:rPr>
      <w:rFonts w:ascii="Times New Roman" w:hAnsi="Times New Roman" w:eastAsia="宋体"/>
      <w:sz w:val="18"/>
      <w:szCs w:val="18"/>
    </w:rPr>
  </w:style>
  <w:style w:type="paragraph" w:customStyle="1" w:styleId="17">
    <w:name w:val="表格"/>
    <w:basedOn w:val="1"/>
    <w:link w:val="16"/>
    <w:qFormat/>
    <w:uiPriority w:val="0"/>
    <w:pPr>
      <w:jc w:val="center"/>
    </w:pPr>
    <w:rPr>
      <w:rFonts w:ascii="Times New Roman" w:hAnsi="Times New Roman" w:eastAsia="宋体"/>
      <w:sz w:val="18"/>
      <w:szCs w:val="18"/>
    </w:rPr>
  </w:style>
  <w:style w:type="paragraph" w:customStyle="1" w:styleId="18">
    <w:name w:val="List Paragraph"/>
    <w:basedOn w:val="1"/>
    <w:qFormat/>
    <w:uiPriority w:val="34"/>
    <w:pPr>
      <w:ind w:firstLine="420" w:firstLineChars="200"/>
    </w:pPr>
  </w:style>
  <w:style w:type="character" w:customStyle="1" w:styleId="19">
    <w:name w:val="页眉 Char"/>
    <w:basedOn w:val="11"/>
    <w:link w:val="7"/>
    <w:qFormat/>
    <w:uiPriority w:val="99"/>
    <w:rPr>
      <w:sz w:val="18"/>
      <w:szCs w:val="18"/>
    </w:rPr>
  </w:style>
  <w:style w:type="character" w:customStyle="1" w:styleId="20">
    <w:name w:val="页脚 Char"/>
    <w:basedOn w:val="11"/>
    <w:link w:val="6"/>
    <w:qFormat/>
    <w:uiPriority w:val="99"/>
    <w:rPr>
      <w:sz w:val="18"/>
      <w:szCs w:val="18"/>
    </w:rPr>
  </w:style>
  <w:style w:type="character" w:customStyle="1" w:styleId="21">
    <w:name w:val="正文文本缩进 Char"/>
    <w:basedOn w:val="11"/>
    <w:link w:val="3"/>
    <w:qFormat/>
    <w:uiPriority w:val="0"/>
  </w:style>
  <w:style w:type="character" w:customStyle="1" w:styleId="22">
    <w:name w:val="批注文字 Char"/>
    <w:basedOn w:val="11"/>
    <w:link w:val="2"/>
    <w:semiHidden/>
    <w:qFormat/>
    <w:uiPriority w:val="99"/>
  </w:style>
  <w:style w:type="character" w:customStyle="1" w:styleId="23">
    <w:name w:val="批注主题 Char"/>
    <w:basedOn w:val="22"/>
    <w:link w:val="8"/>
    <w:semiHidden/>
    <w:qFormat/>
    <w:uiPriority w:val="99"/>
    <w:rPr>
      <w:b/>
      <w:bCs/>
    </w:rPr>
  </w:style>
  <w:style w:type="character" w:customStyle="1" w:styleId="24">
    <w:name w:val="批注框文本 Char"/>
    <w:basedOn w:val="11"/>
    <w:link w:val="5"/>
    <w:semiHidden/>
    <w:qFormat/>
    <w:uiPriority w:val="99"/>
    <w:rPr>
      <w:sz w:val="18"/>
      <w:szCs w:val="18"/>
    </w:rPr>
  </w:style>
  <w:style w:type="character" w:customStyle="1" w:styleId="25">
    <w:name w:val="hover13"/>
    <w:basedOn w:val="11"/>
    <w:qFormat/>
    <w:uiPriority w:val="0"/>
    <w:rPr>
      <w:shd w:val="clear" w:fill="D0D0D0"/>
    </w:rPr>
  </w:style>
  <w:style w:type="character" w:customStyle="1" w:styleId="26">
    <w:name w:val="hover14"/>
    <w:basedOn w:val="11"/>
    <w:qFormat/>
    <w:uiPriority w:val="0"/>
    <w:rPr>
      <w:shd w:val="clear" w:fill="EFEFEF"/>
    </w:rPr>
  </w:style>
  <w:style w:type="character" w:customStyle="1" w:styleId="27">
    <w:name w:val="btnspan"/>
    <w:basedOn w:val="11"/>
    <w:qFormat/>
    <w:uiPriority w:val="0"/>
  </w:style>
  <w:style w:type="character" w:customStyle="1" w:styleId="28">
    <w:name w:val="active7"/>
    <w:basedOn w:val="11"/>
    <w:qFormat/>
    <w:uiPriority w:val="0"/>
    <w:rPr>
      <w:b/>
    </w:rPr>
  </w:style>
  <w:style w:type="character" w:customStyle="1" w:styleId="29">
    <w:name w:val="mailnum"/>
    <w:basedOn w:val="11"/>
    <w:qFormat/>
    <w:uiPriority w:val="0"/>
    <w:rPr>
      <w:b/>
    </w:rPr>
  </w:style>
  <w:style w:type="character" w:customStyle="1" w:styleId="30">
    <w:name w:val="nav_pop_folder"/>
    <w:basedOn w:val="11"/>
    <w:qFormat/>
    <w:uiPriority w:val="0"/>
  </w:style>
  <w:style w:type="character" w:customStyle="1" w:styleId="31">
    <w:name w:val="icolink3"/>
    <w:basedOn w:val="11"/>
    <w:qFormat/>
    <w:uiPriority w:val="0"/>
  </w:style>
  <w:style w:type="character" w:customStyle="1" w:styleId="32">
    <w:name w:val="icolink4"/>
    <w:basedOn w:val="11"/>
    <w:qFormat/>
    <w:uiPriority w:val="0"/>
  </w:style>
  <w:style w:type="character" w:customStyle="1" w:styleId="33">
    <w:name w:val="odcr2"/>
    <w:basedOn w:val="11"/>
    <w:qFormat/>
    <w:uiPriority w:val="0"/>
    <w:rPr>
      <w:color w:val="777777"/>
    </w:rPr>
  </w:style>
  <w:style w:type="character" w:customStyle="1" w:styleId="34">
    <w:name w:val="normalspan"/>
    <w:basedOn w:val="11"/>
    <w:qFormat/>
    <w:uiPriority w:val="0"/>
    <w:rPr>
      <w:color w:val="auto"/>
    </w:rPr>
  </w:style>
  <w:style w:type="character" w:customStyle="1" w:styleId="35">
    <w:name w:val="viewflagged"/>
    <w:basedOn w:val="11"/>
    <w:qFormat/>
    <w:uiPriority w:val="0"/>
    <w:rPr>
      <w:color w:val="1B1B1B"/>
    </w:rPr>
  </w:style>
  <w:style w:type="character" w:customStyle="1" w:styleId="36">
    <w:name w:val="operand"/>
    <w:basedOn w:val="11"/>
    <w:qFormat/>
    <w:uiPriority w:val="0"/>
    <w:rPr>
      <w:b/>
      <w:color w:val="16960E"/>
    </w:rPr>
  </w:style>
  <w:style w:type="character" w:customStyle="1" w:styleId="37">
    <w:name w:val="enabledtext"/>
    <w:basedOn w:val="11"/>
    <w:qFormat/>
    <w:uiPriority w:val="0"/>
    <w:rPr>
      <w:color w:val="000000"/>
    </w:rPr>
  </w:style>
  <w:style w:type="character" w:customStyle="1" w:styleId="38">
    <w:name w:val="hidden"/>
    <w:basedOn w:val="11"/>
    <w:qFormat/>
    <w:uiPriority w:val="0"/>
    <w:rPr>
      <w:vanish/>
    </w:rPr>
  </w:style>
</w:styles>
</file>

<file path=word/_rels/document.xml.rels><?xml version="1.0" encoding="UTF-8" standalone="yes"?>
<Relationships xmlns="http://schemas.openxmlformats.org/package/2006/relationships"><Relationship Id="rId9" Type="http://schemas.openxmlformats.org/officeDocument/2006/relationships/image" Target="media/image1.emf"/><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8" Type="http://schemas.microsoft.com/office/2011/relationships/people" Target="people.xml"/><Relationship Id="rId47" Type="http://schemas.openxmlformats.org/officeDocument/2006/relationships/fontTable" Target="fontTable.xml"/><Relationship Id="rId46" Type="http://schemas.openxmlformats.org/officeDocument/2006/relationships/customXml" Target="../customXml/item2.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image" Target="media/image18.emf"/><Relationship Id="rId42" Type="http://schemas.openxmlformats.org/officeDocument/2006/relationships/oleObject" Target="embeddings/oleObject17.bin"/><Relationship Id="rId41" Type="http://schemas.openxmlformats.org/officeDocument/2006/relationships/image" Target="media/image17.emf"/><Relationship Id="rId40" Type="http://schemas.openxmlformats.org/officeDocument/2006/relationships/oleObject" Target="embeddings/oleObject16.bin"/><Relationship Id="rId4" Type="http://schemas.microsoft.com/office/2011/relationships/commentsExtended" Target="commentsExtended.xml"/><Relationship Id="rId39" Type="http://schemas.openxmlformats.org/officeDocument/2006/relationships/image" Target="media/image16.emf"/><Relationship Id="rId38" Type="http://schemas.openxmlformats.org/officeDocument/2006/relationships/oleObject" Target="embeddings/oleObject15.bin"/><Relationship Id="rId37" Type="http://schemas.openxmlformats.org/officeDocument/2006/relationships/image" Target="media/image15.emf"/><Relationship Id="rId36" Type="http://schemas.openxmlformats.org/officeDocument/2006/relationships/oleObject" Target="embeddings/oleObject14.bin"/><Relationship Id="rId35" Type="http://schemas.openxmlformats.org/officeDocument/2006/relationships/image" Target="media/image14.emf"/><Relationship Id="rId34" Type="http://schemas.openxmlformats.org/officeDocument/2006/relationships/oleObject" Target="embeddings/oleObject13.bin"/><Relationship Id="rId33" Type="http://schemas.openxmlformats.org/officeDocument/2006/relationships/image" Target="media/image13.emf"/><Relationship Id="rId32" Type="http://schemas.openxmlformats.org/officeDocument/2006/relationships/oleObject" Target="embeddings/oleObject12.bin"/><Relationship Id="rId31" Type="http://schemas.openxmlformats.org/officeDocument/2006/relationships/image" Target="media/image12.wmf"/><Relationship Id="rId30" Type="http://schemas.openxmlformats.org/officeDocument/2006/relationships/oleObject" Target="embeddings/oleObject11.bin"/><Relationship Id="rId3" Type="http://schemas.openxmlformats.org/officeDocument/2006/relationships/comments" Target="comments.xml"/><Relationship Id="rId29" Type="http://schemas.openxmlformats.org/officeDocument/2006/relationships/image" Target="media/image11.emf"/><Relationship Id="rId28" Type="http://schemas.openxmlformats.org/officeDocument/2006/relationships/oleObject" Target="embeddings/oleObject10.bin"/><Relationship Id="rId27" Type="http://schemas.openxmlformats.org/officeDocument/2006/relationships/image" Target="media/image10.emf"/><Relationship Id="rId26" Type="http://schemas.openxmlformats.org/officeDocument/2006/relationships/oleObject" Target="embeddings/oleObject9.bin"/><Relationship Id="rId25" Type="http://schemas.openxmlformats.org/officeDocument/2006/relationships/image" Target="media/image9.emf"/><Relationship Id="rId24" Type="http://schemas.openxmlformats.org/officeDocument/2006/relationships/oleObject" Target="embeddings/oleObject8.bin"/><Relationship Id="rId23" Type="http://schemas.openxmlformats.org/officeDocument/2006/relationships/image" Target="media/image8.emf"/><Relationship Id="rId22" Type="http://schemas.openxmlformats.org/officeDocument/2006/relationships/oleObject" Target="embeddings/oleObject7.bin"/><Relationship Id="rId21" Type="http://schemas.openxmlformats.org/officeDocument/2006/relationships/image" Target="media/image7.e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6.emf"/><Relationship Id="rId18" Type="http://schemas.openxmlformats.org/officeDocument/2006/relationships/oleObject" Target="embeddings/oleObject5.bin"/><Relationship Id="rId17" Type="http://schemas.openxmlformats.org/officeDocument/2006/relationships/image" Target="media/image5.emf"/><Relationship Id="rId16" Type="http://schemas.openxmlformats.org/officeDocument/2006/relationships/oleObject" Target="embeddings/oleObject4.bin"/><Relationship Id="rId15" Type="http://schemas.openxmlformats.org/officeDocument/2006/relationships/image" Target="media/image4.emf"/><Relationship Id="rId14" Type="http://schemas.openxmlformats.org/officeDocument/2006/relationships/oleObject" Target="embeddings/oleObject3.bin"/><Relationship Id="rId13" Type="http://schemas.openxmlformats.org/officeDocument/2006/relationships/image" Target="media/image3.emf"/><Relationship Id="rId12" Type="http://schemas.openxmlformats.org/officeDocument/2006/relationships/oleObject" Target="embeddings/oleObject2.bin"/><Relationship Id="rId11" Type="http://schemas.openxmlformats.org/officeDocument/2006/relationships/image" Target="media/image2.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201219-7AA5-478B-8051-A54F1E505DF7}">
  <ds:schemaRefs/>
</ds:datastoreItem>
</file>

<file path=docProps/app.xml><?xml version="1.0" encoding="utf-8"?>
<Properties xmlns="http://schemas.openxmlformats.org/officeDocument/2006/extended-properties" xmlns:vt="http://schemas.openxmlformats.org/officeDocument/2006/docPropsVTypes">
  <Template>Normal</Template>
  <Pages>7</Pages>
  <Words>1726</Words>
  <Characters>9841</Characters>
  <Lines>82</Lines>
  <Paragraphs>23</Paragraphs>
  <TotalTime>31</TotalTime>
  <ScaleCrop>false</ScaleCrop>
  <LinksUpToDate>false</LinksUpToDate>
  <CharactersWithSpaces>11544</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2020-10-30T06:30:00Z</dcterms:created>
  <dc:creator>Administrator</dc:creator>
  <cp:lastModifiedBy>李丽</cp:lastModifiedBy>
  <cp:lastPrinted>2020-11-02T01:31:00Z</cp:lastPrinted>
  <dcterms:modified xsi:type="dcterms:W3CDTF">2025-04-18T07:57:58Z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44DD794A95F44EC6A4AE186AC3F0C98D</vt:lpwstr>
  </property>
</Properties>
</file>